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77777777" w:rsidR="000F2EDC" w:rsidRPr="00944BF1" w:rsidRDefault="000F2EDC" w:rsidP="002F4D4A">
      <w:pPr>
        <w:tabs>
          <w:tab w:val="left" w:pos="6946"/>
        </w:tabs>
        <w:ind w:right="2407"/>
        <w:rPr>
          <w:rFonts w:ascii="Nunito Sans" w:hAnsi="Nunito Sans" w:cs="Arial"/>
          <w:sz w:val="22"/>
          <w:u w:val="single"/>
        </w:rPr>
      </w:pPr>
    </w:p>
    <w:p w14:paraId="2D835C8A" w14:textId="32D4BECB" w:rsidR="000F2EDC" w:rsidRPr="00944BF1" w:rsidRDefault="007D5414" w:rsidP="002F4D4A">
      <w:pPr>
        <w:tabs>
          <w:tab w:val="left" w:pos="6946"/>
        </w:tabs>
        <w:ind w:right="2407"/>
        <w:rPr>
          <w:rFonts w:ascii="Nunito Sans" w:hAnsi="Nunito Sans" w:cs="Arial"/>
          <w:sz w:val="22"/>
        </w:rPr>
      </w:pPr>
      <w:r>
        <w:rPr>
          <w:rFonts w:ascii="Nunito Sans" w:hAnsi="Nunito Sans"/>
          <w:sz w:val="22"/>
        </w:rPr>
        <w:tab/>
        <w:t>September 2024</w:t>
      </w:r>
    </w:p>
    <w:p w14:paraId="4F5D3A7E" w14:textId="77777777" w:rsidR="007D5414" w:rsidRPr="00944BF1" w:rsidRDefault="007D5414" w:rsidP="002F4D4A">
      <w:pPr>
        <w:tabs>
          <w:tab w:val="left" w:pos="6946"/>
        </w:tabs>
        <w:ind w:right="2407"/>
        <w:rPr>
          <w:rFonts w:ascii="Nunito Sans" w:hAnsi="Nunito Sans" w:cs="Arial"/>
          <w:sz w:val="22"/>
          <w:u w:val="single"/>
        </w:rPr>
      </w:pPr>
    </w:p>
    <w:p w14:paraId="2381E97C" w14:textId="29E735F0" w:rsidR="000F2EDC" w:rsidRPr="00944BF1" w:rsidRDefault="000F2EDC" w:rsidP="002F4D4A">
      <w:pPr>
        <w:tabs>
          <w:tab w:val="left" w:pos="6946"/>
        </w:tabs>
        <w:ind w:right="2407"/>
        <w:rPr>
          <w:rFonts w:ascii="Nunito Sans" w:hAnsi="Nunito Sans" w:cs="Arial"/>
          <w:sz w:val="22"/>
          <w:u w:val="single"/>
        </w:rPr>
      </w:pPr>
    </w:p>
    <w:p w14:paraId="49E6FB3C" w14:textId="617610B2" w:rsidR="002F4D4A" w:rsidRPr="00944BF1" w:rsidRDefault="00934779" w:rsidP="007868C8">
      <w:pPr>
        <w:tabs>
          <w:tab w:val="left" w:pos="2700"/>
        </w:tabs>
        <w:ind w:right="2407"/>
        <w:rPr>
          <w:rFonts w:ascii="Arial" w:hAnsi="Arial" w:cs="Arial"/>
          <w:sz w:val="22"/>
          <w:u w:val="single"/>
        </w:rPr>
      </w:pPr>
      <w:r>
        <w:rPr>
          <w:rFonts w:ascii="Arial" w:hAnsi="Arial"/>
          <w:sz w:val="22"/>
          <w:u w:val="single"/>
        </w:rPr>
        <w:t>80% less time to assemble and dismantle the shackle</w:t>
      </w:r>
    </w:p>
    <w:p w14:paraId="1258EFAA" w14:textId="77777777" w:rsidR="00F325DA" w:rsidRPr="00944BF1" w:rsidRDefault="00F325DA" w:rsidP="007868C8">
      <w:pPr>
        <w:tabs>
          <w:tab w:val="left" w:pos="2700"/>
        </w:tabs>
        <w:ind w:right="2407"/>
        <w:rPr>
          <w:rFonts w:ascii="Arial" w:hAnsi="Arial" w:cs="Arial"/>
          <w:sz w:val="22"/>
          <w:u w:val="single"/>
        </w:rPr>
      </w:pPr>
    </w:p>
    <w:p w14:paraId="3D4107AF" w14:textId="77777777" w:rsidR="002F4D4A" w:rsidRPr="00944BF1" w:rsidRDefault="002F4D4A" w:rsidP="002F4D4A">
      <w:pPr>
        <w:ind w:right="3119"/>
        <w:rPr>
          <w:rFonts w:ascii="Arial" w:hAnsi="Arial" w:cs="Arial"/>
        </w:rPr>
      </w:pPr>
    </w:p>
    <w:p w14:paraId="02D0AB15" w14:textId="4994CF32" w:rsidR="002F4D4A" w:rsidRDefault="00F5590E" w:rsidP="002F4D4A">
      <w:pPr>
        <w:tabs>
          <w:tab w:val="left" w:pos="6521"/>
        </w:tabs>
        <w:spacing w:line="360" w:lineRule="auto"/>
        <w:ind w:right="2407"/>
        <w:rPr>
          <w:rFonts w:ascii="Arial" w:hAnsi="Arial" w:cs="Arial"/>
          <w:b/>
          <w:sz w:val="28"/>
        </w:rPr>
      </w:pPr>
      <w:r>
        <w:rPr>
          <w:rFonts w:ascii="Arial" w:hAnsi="Arial"/>
          <w:b/>
          <w:sz w:val="28"/>
        </w:rPr>
        <w:t>RUD presents the CCS-FASTLOX clickable clevis shackle</w:t>
      </w:r>
    </w:p>
    <w:p w14:paraId="3F07EB29" w14:textId="77777777" w:rsidR="00944BF1" w:rsidRPr="00944BF1" w:rsidRDefault="00944BF1" w:rsidP="002F4D4A">
      <w:pPr>
        <w:tabs>
          <w:tab w:val="left" w:pos="6521"/>
        </w:tabs>
        <w:spacing w:line="360" w:lineRule="auto"/>
        <w:ind w:right="2407"/>
        <w:rPr>
          <w:rFonts w:ascii="Arial" w:hAnsi="Arial" w:cs="Arial"/>
          <w:b/>
          <w:sz w:val="28"/>
        </w:rPr>
      </w:pPr>
    </w:p>
    <w:p w14:paraId="32DC330E" w14:textId="14A59069" w:rsidR="00D41A29" w:rsidRPr="00C82061" w:rsidRDefault="00A65D89" w:rsidP="00E50E80">
      <w:pPr>
        <w:pStyle w:val="Listenabsatz"/>
        <w:numPr>
          <w:ilvl w:val="0"/>
          <w:numId w:val="1"/>
        </w:numPr>
        <w:tabs>
          <w:tab w:val="left" w:pos="6521"/>
        </w:tabs>
        <w:spacing w:line="360" w:lineRule="auto"/>
        <w:ind w:right="3119"/>
        <w:rPr>
          <w:rFonts w:ascii="Arial" w:hAnsi="Arial" w:cs="Arial"/>
          <w:b/>
          <w:sz w:val="22"/>
          <w:szCs w:val="22"/>
        </w:rPr>
      </w:pPr>
      <w:r>
        <w:rPr>
          <w:rFonts w:ascii="Arial" w:hAnsi="Arial"/>
          <w:b/>
          <w:sz w:val="22"/>
        </w:rPr>
        <w:t xml:space="preserve">Quick-release fastener guarantees fast and tool-free assembly and dismantling </w:t>
      </w:r>
    </w:p>
    <w:p w14:paraId="252B5064" w14:textId="1DC7026C" w:rsidR="002F4D4A" w:rsidRPr="00A65D89" w:rsidRDefault="00A65D89" w:rsidP="00F5590E">
      <w:pPr>
        <w:pStyle w:val="Listenabsatz"/>
        <w:numPr>
          <w:ilvl w:val="0"/>
          <w:numId w:val="1"/>
        </w:numPr>
        <w:tabs>
          <w:tab w:val="left" w:pos="6521"/>
        </w:tabs>
        <w:spacing w:line="360" w:lineRule="auto"/>
        <w:ind w:right="3119"/>
        <w:rPr>
          <w:rFonts w:ascii="Arial" w:hAnsi="Arial" w:cs="Arial"/>
          <w:b/>
          <w:sz w:val="22"/>
          <w:szCs w:val="22"/>
        </w:rPr>
      </w:pPr>
      <w:r>
        <w:rPr>
          <w:rFonts w:ascii="Arial" w:hAnsi="Arial"/>
          <w:b/>
          <w:sz w:val="22"/>
        </w:rPr>
        <w:t>Available in nominal sizes 4 to 16 (ICE) or 6 to 22 (VIP)</w:t>
      </w:r>
    </w:p>
    <w:p w14:paraId="7400C699" w14:textId="4C6CA45D" w:rsidR="00F5590E" w:rsidRPr="00F5590E" w:rsidRDefault="00A65D89" w:rsidP="00F5590E">
      <w:pPr>
        <w:pStyle w:val="Listenabsatz"/>
        <w:numPr>
          <w:ilvl w:val="0"/>
          <w:numId w:val="1"/>
        </w:numPr>
        <w:tabs>
          <w:tab w:val="left" w:pos="6521"/>
        </w:tabs>
        <w:spacing w:line="360" w:lineRule="auto"/>
        <w:ind w:right="3119"/>
        <w:rPr>
          <w:rFonts w:ascii="Arial" w:hAnsi="Arial" w:cs="Arial"/>
          <w:b/>
        </w:rPr>
      </w:pPr>
      <w:r>
        <w:rPr>
          <w:rFonts w:ascii="Arial" w:hAnsi="Arial"/>
          <w:b/>
          <w:sz w:val="22"/>
        </w:rPr>
        <w:t xml:space="preserve">RFID transponder integrated as standard for quick and simple product identification </w:t>
      </w:r>
    </w:p>
    <w:p w14:paraId="71479FF8" w14:textId="77777777" w:rsidR="00F5590E" w:rsidRPr="00F5590E" w:rsidRDefault="00F5590E" w:rsidP="00F5590E">
      <w:pPr>
        <w:tabs>
          <w:tab w:val="left" w:pos="6521"/>
        </w:tabs>
        <w:spacing w:line="360" w:lineRule="auto"/>
        <w:ind w:right="3119"/>
        <w:rPr>
          <w:rFonts w:ascii="Arial" w:hAnsi="Arial" w:cs="Arial"/>
          <w:b/>
        </w:rPr>
      </w:pPr>
    </w:p>
    <w:p w14:paraId="5243625E" w14:textId="6F635702" w:rsidR="00E351A7" w:rsidRDefault="002F4D4A" w:rsidP="00E351A7">
      <w:pPr>
        <w:widowControl w:val="0"/>
        <w:tabs>
          <w:tab w:val="left" w:pos="8647"/>
        </w:tabs>
        <w:autoSpaceDE w:val="0"/>
        <w:autoSpaceDN w:val="0"/>
        <w:adjustRightInd w:val="0"/>
        <w:spacing w:line="360" w:lineRule="auto"/>
        <w:ind w:right="2124"/>
        <w:rPr>
          <w:rFonts w:ascii="Arial" w:hAnsi="Arial" w:cs="Arial"/>
          <w:b/>
          <w:sz w:val="22"/>
        </w:rPr>
      </w:pPr>
      <w:r>
        <w:rPr>
          <w:rFonts w:ascii="Arial" w:hAnsi="Arial"/>
          <w:sz w:val="22"/>
        </w:rPr>
        <w:t xml:space="preserve">Aalen, September 2024 – </w:t>
      </w:r>
      <w:r>
        <w:rPr>
          <w:rFonts w:ascii="Arial" w:hAnsi="Arial"/>
          <w:b/>
          <w:sz w:val="22"/>
        </w:rPr>
        <w:t xml:space="preserve">Plugging instead of bolting: with the new CCS-FASTLOX, RUD is expanding its product portfolio to include a clevis shackle with a quick-release fastener that makes the attachment of loads considerably easier and faster. The highly robust shackle can be fitted without nut and cotter pin, saving up to 80% of assembly and dismantling time compared to conventional boltable shackles. </w:t>
      </w:r>
    </w:p>
    <w:p w14:paraId="60EC8260" w14:textId="77777777" w:rsidR="00184F92" w:rsidRDefault="00CF01A3" w:rsidP="006571D8">
      <w:pPr>
        <w:widowControl w:val="0"/>
        <w:tabs>
          <w:tab w:val="left" w:pos="8647"/>
        </w:tabs>
        <w:autoSpaceDE w:val="0"/>
        <w:autoSpaceDN w:val="0"/>
        <w:adjustRightInd w:val="0"/>
        <w:spacing w:line="360" w:lineRule="auto"/>
        <w:ind w:right="2124"/>
        <w:rPr>
          <w:rFonts w:ascii="Arial" w:hAnsi="Arial" w:cs="Arial"/>
          <w:bCs/>
          <w:sz w:val="22"/>
        </w:rPr>
      </w:pPr>
      <w:r>
        <w:rPr>
          <w:rFonts w:ascii="Arial" w:hAnsi="Arial"/>
          <w:sz w:val="22"/>
        </w:rPr>
        <w:t xml:space="preserve">                                                                                                                                                                                                                                                                                                                                                                                                                                                                                                                                                                                                                                                                                                                                                                                                                                                                                                                                                                                                                                                                                                                                                                                                                                                                                                                                                                                                                                                                                                                                                                                                                                                       </w:t>
      </w:r>
    </w:p>
    <w:p w14:paraId="4AE797FF" w14:textId="2DC2D93C" w:rsidR="00416913" w:rsidRDefault="00184F92" w:rsidP="00184F92">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 xml:space="preserve">To fix, the bolt is pushed through the shackle and automatically engaged by a locking mechanism on the side. Correct engagement of the bolt is both visible and audible with a click. To unlock the lock, the two levers of the locking mechanism are pressed together and the bolt can then be removed with ease. CCS-FASTLOX is ideal for applications with a high number of assembly and dismantling operations, thanks to its simple quick-release fastener.  </w:t>
      </w:r>
    </w:p>
    <w:p w14:paraId="47F0F505" w14:textId="77777777" w:rsidR="0097301D" w:rsidRDefault="0097301D" w:rsidP="00184F92">
      <w:pPr>
        <w:widowControl w:val="0"/>
        <w:tabs>
          <w:tab w:val="left" w:pos="8647"/>
        </w:tabs>
        <w:autoSpaceDE w:val="0"/>
        <w:autoSpaceDN w:val="0"/>
        <w:adjustRightInd w:val="0"/>
        <w:spacing w:line="360" w:lineRule="auto"/>
        <w:ind w:right="2124"/>
        <w:rPr>
          <w:rFonts w:ascii="Arial" w:hAnsi="Arial" w:cs="Arial"/>
          <w:sz w:val="22"/>
        </w:rPr>
      </w:pPr>
    </w:p>
    <w:p w14:paraId="30582C35" w14:textId="691759F5" w:rsidR="0058018B" w:rsidRDefault="0058018B" w:rsidP="00B21C38">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 xml:space="preserve">As well as being much quicker to install, the CCS-FASTLOX offers two other advantages over a shackle with a </w:t>
      </w:r>
      <w:r w:rsidR="001B7130">
        <w:rPr>
          <w:rFonts w:ascii="Arial" w:hAnsi="Arial"/>
          <w:sz w:val="22"/>
        </w:rPr>
        <w:t>bolt</w:t>
      </w:r>
      <w:r>
        <w:rPr>
          <w:rFonts w:ascii="Arial" w:hAnsi="Arial"/>
          <w:sz w:val="22"/>
        </w:rPr>
        <w:t xml:space="preserve"> connection: there is no risk of accidental loosening of the </w:t>
      </w:r>
      <w:r w:rsidR="001B7130">
        <w:rPr>
          <w:rFonts w:ascii="Arial" w:hAnsi="Arial"/>
          <w:sz w:val="22"/>
        </w:rPr>
        <w:t>bolt</w:t>
      </w:r>
      <w:r>
        <w:rPr>
          <w:rFonts w:ascii="Arial" w:hAnsi="Arial"/>
          <w:sz w:val="22"/>
        </w:rPr>
        <w:t xml:space="preserve"> connection by rotating, nor is there </w:t>
      </w:r>
      <w:r>
        <w:rPr>
          <w:rFonts w:ascii="Arial" w:hAnsi="Arial"/>
          <w:sz w:val="22"/>
        </w:rPr>
        <w:lastRenderedPageBreak/>
        <w:t xml:space="preserve">any risk of the thread ‘seizing’. The RUD shackle’s new locking mechanism also makes it much easier to assemble, thanks to operation without a cotter pin. Locking is effortless and the risk of losing components is reduced, even when wearing work gloves.  </w:t>
      </w:r>
    </w:p>
    <w:p w14:paraId="3AEBEB3B" w14:textId="77777777" w:rsidR="00416913" w:rsidRDefault="00416913" w:rsidP="00184F92">
      <w:pPr>
        <w:widowControl w:val="0"/>
        <w:tabs>
          <w:tab w:val="left" w:pos="8647"/>
        </w:tabs>
        <w:autoSpaceDE w:val="0"/>
        <w:autoSpaceDN w:val="0"/>
        <w:adjustRightInd w:val="0"/>
        <w:spacing w:line="360" w:lineRule="auto"/>
        <w:ind w:right="2124"/>
        <w:rPr>
          <w:rFonts w:ascii="Arial" w:hAnsi="Arial" w:cs="Arial"/>
          <w:sz w:val="22"/>
        </w:rPr>
      </w:pPr>
    </w:p>
    <w:p w14:paraId="26951627" w14:textId="6C6E9091" w:rsidR="00EB39F1" w:rsidRDefault="00EB39F1" w:rsidP="00EB39F1">
      <w:pPr>
        <w:widowControl w:val="0"/>
        <w:tabs>
          <w:tab w:val="left" w:pos="8647"/>
        </w:tabs>
        <w:autoSpaceDE w:val="0"/>
        <w:autoSpaceDN w:val="0"/>
        <w:adjustRightInd w:val="0"/>
        <w:spacing w:line="360" w:lineRule="auto"/>
        <w:ind w:right="2124"/>
        <w:rPr>
          <w:rFonts w:ascii="Arial" w:hAnsi="Arial" w:cs="Arial"/>
          <w:bCs/>
          <w:sz w:val="22"/>
        </w:rPr>
      </w:pPr>
      <w:r>
        <w:rPr>
          <w:rFonts w:ascii="Arial" w:hAnsi="Arial"/>
          <w:sz w:val="22"/>
        </w:rPr>
        <w:t>The C</w:t>
      </w:r>
      <w:r w:rsidR="004A50BE">
        <w:rPr>
          <w:rFonts w:ascii="Arial" w:hAnsi="Arial"/>
          <w:sz w:val="22"/>
        </w:rPr>
        <w:t>C</w:t>
      </w:r>
      <w:r>
        <w:rPr>
          <w:rFonts w:ascii="Arial" w:hAnsi="Arial"/>
          <w:sz w:val="22"/>
        </w:rPr>
        <w:t>S-FASTLOX is suitable for chain connection. It has a rotated clevis cardan joint, which makes it less susceptible to bending. It is available in grades 12 (ICE) and 10 (VIP) and in nominal sizes from 4 to 16 (ICE) or 6 to 22 (VIP). By means of labelling or stamping on the shackle and shackle bolt, the grade and size of the components can be read at any time. All variants of the CCS-FASTLOX are also equipped with an integrated RFID transponder as standard; this can be used to retrieve the ID number registered in the factory by using a</w:t>
      </w:r>
      <w:r w:rsidR="00B656D0">
        <w:rPr>
          <w:rFonts w:ascii="Arial" w:hAnsi="Arial"/>
          <w:sz w:val="22"/>
        </w:rPr>
        <w:t>n</w:t>
      </w:r>
      <w:r>
        <w:rPr>
          <w:rFonts w:ascii="Arial" w:hAnsi="Arial"/>
          <w:sz w:val="22"/>
        </w:rPr>
        <w:t xml:space="preserve"> </w:t>
      </w:r>
      <w:bookmarkStart w:id="0" w:name="_Hlk165302754"/>
      <w:r>
        <w:rPr>
          <w:rFonts w:ascii="Arial" w:hAnsi="Arial"/>
          <w:sz w:val="22"/>
        </w:rPr>
        <w:t>NFC-based reader or smartphone</w:t>
      </w:r>
      <w:bookmarkEnd w:id="0"/>
      <w:r>
        <w:rPr>
          <w:rFonts w:ascii="Arial" w:hAnsi="Arial"/>
          <w:sz w:val="22"/>
        </w:rPr>
        <w:t xml:space="preserve">. This enables a simple and fast inspection process, as components can be properly identified in seconds and with legal certainty. With this ID number, it is not difficult for users to access application-related information, such as comprehensive product data and instruction manuals, via the BUDDYtron app, for example. </w:t>
      </w:r>
    </w:p>
    <w:p w14:paraId="2C4EC4E0" w14:textId="77777777" w:rsidR="00416913" w:rsidRDefault="00416913" w:rsidP="00184F92">
      <w:pPr>
        <w:widowControl w:val="0"/>
        <w:tabs>
          <w:tab w:val="left" w:pos="8647"/>
        </w:tabs>
        <w:autoSpaceDE w:val="0"/>
        <w:autoSpaceDN w:val="0"/>
        <w:adjustRightInd w:val="0"/>
        <w:spacing w:line="360" w:lineRule="auto"/>
        <w:ind w:right="2124"/>
        <w:rPr>
          <w:rFonts w:ascii="Arial" w:hAnsi="Arial" w:cs="Arial"/>
          <w:sz w:val="22"/>
        </w:rPr>
      </w:pPr>
    </w:p>
    <w:p w14:paraId="468BCCE8" w14:textId="22CC2741" w:rsidR="00416913" w:rsidRDefault="00354CAE" w:rsidP="00184F92">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 xml:space="preserve">The CCS-FASTLOX </w:t>
      </w:r>
      <w:r w:rsidR="00881CD6">
        <w:rPr>
          <w:rFonts w:ascii="Arial" w:hAnsi="Arial"/>
          <w:sz w:val="22"/>
        </w:rPr>
        <w:t>is</w:t>
      </w:r>
      <w:r>
        <w:rPr>
          <w:rFonts w:ascii="Arial" w:hAnsi="Arial"/>
          <w:sz w:val="22"/>
        </w:rPr>
        <w:t xml:space="preserve"> available </w:t>
      </w:r>
      <w:r w:rsidR="00881CD6">
        <w:rPr>
          <w:rFonts w:ascii="Arial" w:hAnsi="Arial"/>
          <w:sz w:val="22"/>
        </w:rPr>
        <w:t>now.</w:t>
      </w:r>
    </w:p>
    <w:p w14:paraId="029EED0B" w14:textId="77777777" w:rsidR="00416913" w:rsidRDefault="00416913" w:rsidP="00184F92">
      <w:pPr>
        <w:widowControl w:val="0"/>
        <w:tabs>
          <w:tab w:val="left" w:pos="8647"/>
        </w:tabs>
        <w:autoSpaceDE w:val="0"/>
        <w:autoSpaceDN w:val="0"/>
        <w:adjustRightInd w:val="0"/>
        <w:spacing w:line="360" w:lineRule="auto"/>
        <w:ind w:right="2124"/>
        <w:rPr>
          <w:rFonts w:ascii="Arial" w:hAnsi="Arial" w:cs="Arial"/>
          <w:sz w:val="22"/>
        </w:rPr>
      </w:pPr>
    </w:p>
    <w:p w14:paraId="0FF07226" w14:textId="3CEBE97F" w:rsidR="00382CBC" w:rsidRPr="00B167D8" w:rsidRDefault="00382CBC" w:rsidP="00382CBC">
      <w:pPr>
        <w:widowControl w:val="0"/>
        <w:tabs>
          <w:tab w:val="left" w:pos="8647"/>
        </w:tabs>
        <w:autoSpaceDE w:val="0"/>
        <w:autoSpaceDN w:val="0"/>
        <w:adjustRightInd w:val="0"/>
        <w:spacing w:line="360" w:lineRule="auto"/>
        <w:ind w:right="2124"/>
        <w:rPr>
          <w:rFonts w:ascii="Arial" w:hAnsi="Arial" w:cs="Arial"/>
          <w:sz w:val="22"/>
          <w:szCs w:val="22"/>
        </w:rPr>
      </w:pPr>
      <w:r>
        <w:rPr>
          <w:rFonts w:ascii="Arial" w:hAnsi="Arial"/>
          <w:sz w:val="22"/>
        </w:rPr>
        <w:t xml:space="preserve">More information at: </w:t>
      </w:r>
      <w:hyperlink r:id="rId8" w:history="1">
        <w:r>
          <w:rPr>
            <w:rStyle w:val="Hyperlink"/>
            <w:rFonts w:ascii="Arial" w:hAnsi="Arial"/>
            <w:sz w:val="22"/>
          </w:rPr>
          <w:t>www.rud.com</w:t>
        </w:r>
      </w:hyperlink>
      <w:r>
        <w:rPr>
          <w:rFonts w:ascii="Arial" w:hAnsi="Arial"/>
          <w:sz w:val="22"/>
        </w:rPr>
        <w:t xml:space="preserve"> and </w:t>
      </w:r>
      <w:hyperlink r:id="rId9" w:history="1">
        <w:r>
          <w:rPr>
            <w:rStyle w:val="Hyperlink"/>
            <w:rFonts w:ascii="Arial" w:hAnsi="Arial"/>
            <w:sz w:val="22"/>
          </w:rPr>
          <w:t>www.slingandlashing.rud.com</w:t>
        </w:r>
      </w:hyperlink>
    </w:p>
    <w:p w14:paraId="0CF4370C" w14:textId="77777777" w:rsidR="00382CBC" w:rsidRPr="006571D8" w:rsidRDefault="00382CBC" w:rsidP="005545D5">
      <w:pPr>
        <w:widowControl w:val="0"/>
        <w:tabs>
          <w:tab w:val="left" w:pos="8647"/>
        </w:tabs>
        <w:autoSpaceDE w:val="0"/>
        <w:autoSpaceDN w:val="0"/>
        <w:adjustRightInd w:val="0"/>
        <w:spacing w:line="360" w:lineRule="auto"/>
        <w:ind w:right="2124"/>
        <w:rPr>
          <w:rFonts w:ascii="Arial" w:hAnsi="Arial" w:cs="Arial"/>
          <w:sz w:val="22"/>
        </w:rPr>
      </w:pPr>
    </w:p>
    <w:p w14:paraId="37BF5A0C" w14:textId="77777777" w:rsidR="0075162A" w:rsidRDefault="0075162A" w:rsidP="00200256">
      <w:pPr>
        <w:widowControl w:val="0"/>
        <w:tabs>
          <w:tab w:val="left" w:pos="8647"/>
        </w:tabs>
        <w:autoSpaceDE w:val="0"/>
        <w:autoSpaceDN w:val="0"/>
        <w:adjustRightInd w:val="0"/>
        <w:spacing w:line="360" w:lineRule="auto"/>
        <w:ind w:right="2124"/>
        <w:jc w:val="both"/>
        <w:rPr>
          <w:rFonts w:ascii="Arial" w:hAnsi="Arial" w:cs="Arial"/>
          <w:bCs/>
          <w:sz w:val="22"/>
        </w:rPr>
      </w:pPr>
    </w:p>
    <w:p w14:paraId="441B064C" w14:textId="77777777" w:rsidR="00B66C2E" w:rsidRPr="00367BFF" w:rsidRDefault="00B66C2E" w:rsidP="00B66C2E">
      <w:pPr>
        <w:widowControl w:val="0"/>
        <w:tabs>
          <w:tab w:val="left" w:pos="8647"/>
        </w:tabs>
        <w:autoSpaceDE w:val="0"/>
        <w:autoSpaceDN w:val="0"/>
        <w:adjustRightInd w:val="0"/>
        <w:spacing w:line="360" w:lineRule="auto"/>
        <w:ind w:right="2124"/>
        <w:jc w:val="both"/>
        <w:rPr>
          <w:rFonts w:ascii="Arial" w:hAnsi="Arial" w:cs="Arial"/>
          <w:b/>
          <w:sz w:val="22"/>
          <w:szCs w:val="22"/>
        </w:rPr>
      </w:pPr>
      <w:r>
        <w:rPr>
          <w:rFonts w:ascii="Arial" w:hAnsi="Arial"/>
          <w:b/>
          <w:sz w:val="22"/>
        </w:rPr>
        <w:t>The company</w:t>
      </w:r>
    </w:p>
    <w:p w14:paraId="5BCD5BDD" w14:textId="77777777" w:rsidR="00B66C2E" w:rsidRPr="00367BFF" w:rsidRDefault="00B66C2E" w:rsidP="00B66C2E">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704A0759" w14:textId="77777777" w:rsidR="00B66C2E" w:rsidRPr="00367BFF" w:rsidRDefault="00B66C2E" w:rsidP="00B66C2E">
      <w:pPr>
        <w:widowControl w:val="0"/>
        <w:tabs>
          <w:tab w:val="left" w:pos="8647"/>
        </w:tabs>
        <w:autoSpaceDE w:val="0"/>
        <w:autoSpaceDN w:val="0"/>
        <w:adjustRightInd w:val="0"/>
        <w:spacing w:line="360" w:lineRule="auto"/>
        <w:ind w:right="2124"/>
        <w:jc w:val="both"/>
        <w:rPr>
          <w:rFonts w:ascii="Arial" w:hAnsi="Arial" w:cs="Arial"/>
          <w:bCs/>
          <w:sz w:val="22"/>
          <w:szCs w:val="22"/>
        </w:rPr>
      </w:pPr>
      <w:r>
        <w:rPr>
          <w:rFonts w:ascii="Arial" w:hAnsi="Arial"/>
          <w:sz w:val="22"/>
        </w:rPr>
        <w:t>RUD Ketten Rieger &amp; Dietz GmbH u. Co. KG, founded in 1875 by Carl Rieger and Friedrich Dietz in the Swabian city of Aalen, achieves with over 1700 employees in more than 120 countries an annual turnover of over 250 million euros.</w:t>
      </w:r>
      <w:r>
        <w:rPr>
          <w:rFonts w:ascii="Arial" w:hAnsi="Arial"/>
        </w:rPr>
        <w:t xml:space="preserve"> </w:t>
      </w:r>
      <w:r>
        <w:rPr>
          <w:rFonts w:ascii="Arial" w:hAnsi="Arial"/>
          <w:sz w:val="22"/>
        </w:rPr>
        <w:t xml:space="preserve">At locations, among others in Germany, Australia, Brazil, China, India, Romania and the USA, the family business, alongside lifting technology, also manufactures lashing technology and anti-skid chains, as well as hoisting chains and conveyor systems. With the Erlau brand, the Aalen-based company also manufactures tyre protection chains and property furnishings for indoor </w:t>
      </w:r>
      <w:r>
        <w:rPr>
          <w:rFonts w:ascii="Arial" w:hAnsi="Arial"/>
          <w:sz w:val="22"/>
        </w:rPr>
        <w:lastRenderedPageBreak/>
        <w:t>and outdoor areas.</w:t>
      </w:r>
    </w:p>
    <w:p w14:paraId="6308C7E8" w14:textId="77777777" w:rsidR="00B66C2E" w:rsidRPr="00367BFF" w:rsidRDefault="00B66C2E" w:rsidP="00B66C2E">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62EA02BE" w14:textId="77777777" w:rsidR="00B66C2E" w:rsidRDefault="00B66C2E" w:rsidP="00B66C2E">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46782FB4" w14:textId="77777777" w:rsidR="00B66C2E" w:rsidRPr="00367BFF" w:rsidRDefault="00B66C2E" w:rsidP="00B66C2E">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0BCAEFD3" w14:textId="77777777" w:rsidR="00B66C2E" w:rsidRPr="00367BFF" w:rsidRDefault="00B66C2E" w:rsidP="00B66C2E">
      <w:pPr>
        <w:spacing w:line="276" w:lineRule="auto"/>
        <w:rPr>
          <w:rFonts w:ascii="Arial" w:hAnsi="Arial" w:cs="Arial"/>
          <w:bCs/>
          <w:sz w:val="22"/>
          <w:szCs w:val="22"/>
        </w:rPr>
      </w:pPr>
      <w:r>
        <w:rPr>
          <w:rFonts w:ascii="Arial" w:hAnsi="Arial"/>
          <w:sz w:val="22"/>
        </w:rPr>
        <w:t>Your contact:</w:t>
      </w:r>
    </w:p>
    <w:p w14:paraId="035F268E" w14:textId="77777777" w:rsidR="00B66C2E" w:rsidRPr="00367BFF" w:rsidRDefault="00B66C2E" w:rsidP="00B66C2E">
      <w:pPr>
        <w:spacing w:line="276" w:lineRule="auto"/>
        <w:rPr>
          <w:rFonts w:ascii="Arial" w:hAnsi="Arial" w:cs="Arial"/>
          <w:bCs/>
          <w:sz w:val="22"/>
          <w:szCs w:val="22"/>
        </w:rPr>
      </w:pPr>
      <w:r w:rsidRPr="00B66C2E">
        <w:rPr>
          <w:rFonts w:ascii="Arial" w:hAnsi="Arial"/>
          <w:sz w:val="22"/>
          <w:lang w:val="en-US"/>
        </w:rPr>
        <w:t xml:space="preserve">RUD Ketten Rieger &amp; Dietz GmbH u. Co. </w:t>
      </w:r>
      <w:r>
        <w:rPr>
          <w:rFonts w:ascii="Arial" w:hAnsi="Arial"/>
          <w:sz w:val="22"/>
        </w:rPr>
        <w:t>KG</w:t>
      </w:r>
    </w:p>
    <w:p w14:paraId="7456D233" w14:textId="77777777" w:rsidR="00B66C2E" w:rsidRPr="00367BFF" w:rsidRDefault="00B66C2E" w:rsidP="00B66C2E">
      <w:pPr>
        <w:spacing w:line="276" w:lineRule="auto"/>
        <w:rPr>
          <w:rFonts w:ascii="Arial" w:hAnsi="Arial" w:cs="Arial"/>
          <w:bCs/>
          <w:sz w:val="22"/>
          <w:szCs w:val="22"/>
        </w:rPr>
      </w:pPr>
      <w:r>
        <w:rPr>
          <w:rFonts w:ascii="Arial" w:hAnsi="Arial"/>
          <w:sz w:val="22"/>
        </w:rPr>
        <w:t xml:space="preserve">Lea Thiele – Marketing Manager </w:t>
      </w:r>
    </w:p>
    <w:p w14:paraId="41CAECB5" w14:textId="77777777" w:rsidR="00B66C2E" w:rsidRPr="00367BFF" w:rsidRDefault="00B66C2E" w:rsidP="00B66C2E">
      <w:pPr>
        <w:spacing w:line="276" w:lineRule="auto"/>
        <w:rPr>
          <w:rFonts w:ascii="Arial" w:hAnsi="Arial" w:cs="Arial"/>
          <w:bCs/>
          <w:sz w:val="22"/>
          <w:szCs w:val="22"/>
        </w:rPr>
      </w:pPr>
      <w:r>
        <w:rPr>
          <w:rFonts w:ascii="Arial" w:hAnsi="Arial"/>
          <w:sz w:val="22"/>
        </w:rPr>
        <w:t>Friedensinsel</w:t>
      </w:r>
    </w:p>
    <w:p w14:paraId="20E7B119" w14:textId="77777777" w:rsidR="00B66C2E" w:rsidRPr="00367BFF" w:rsidRDefault="00B66C2E" w:rsidP="00B66C2E">
      <w:pPr>
        <w:spacing w:line="276" w:lineRule="auto"/>
        <w:rPr>
          <w:rFonts w:ascii="Arial" w:hAnsi="Arial" w:cs="Arial"/>
          <w:bCs/>
          <w:sz w:val="22"/>
          <w:szCs w:val="22"/>
        </w:rPr>
      </w:pPr>
      <w:r>
        <w:rPr>
          <w:rFonts w:ascii="Arial" w:hAnsi="Arial"/>
          <w:sz w:val="22"/>
        </w:rPr>
        <w:t>73432 Aalen, Germany</w:t>
      </w:r>
    </w:p>
    <w:p w14:paraId="7381E1A6" w14:textId="77777777" w:rsidR="00B66C2E" w:rsidRPr="00367BFF" w:rsidRDefault="00B66C2E" w:rsidP="00B66C2E">
      <w:pPr>
        <w:spacing w:line="276" w:lineRule="auto"/>
        <w:rPr>
          <w:rFonts w:ascii="Arial" w:hAnsi="Arial" w:cs="Arial"/>
          <w:bCs/>
          <w:sz w:val="22"/>
          <w:szCs w:val="22"/>
        </w:rPr>
      </w:pPr>
      <w:r>
        <w:rPr>
          <w:rFonts w:ascii="Arial" w:hAnsi="Arial"/>
          <w:sz w:val="22"/>
        </w:rPr>
        <w:t>Phone: +49 7361 504-1463</w:t>
      </w:r>
    </w:p>
    <w:p w14:paraId="58BA87C7" w14:textId="77777777" w:rsidR="00B66C2E" w:rsidRPr="00367BFF" w:rsidRDefault="00B66C2E" w:rsidP="00B66C2E">
      <w:pPr>
        <w:spacing w:line="276" w:lineRule="auto"/>
        <w:rPr>
          <w:rFonts w:ascii="Arial" w:hAnsi="Arial" w:cs="Arial"/>
          <w:bCs/>
          <w:sz w:val="22"/>
          <w:szCs w:val="22"/>
        </w:rPr>
      </w:pPr>
      <w:r>
        <w:rPr>
          <w:rFonts w:ascii="Arial" w:hAnsi="Arial"/>
          <w:sz w:val="22"/>
        </w:rPr>
        <w:t>www.slinglashing.rud.com</w:t>
      </w:r>
    </w:p>
    <w:p w14:paraId="06F7BB7B" w14:textId="77777777" w:rsidR="00B66C2E" w:rsidRDefault="00B66C2E" w:rsidP="00B66C2E">
      <w:pPr>
        <w:spacing w:line="276" w:lineRule="auto"/>
        <w:rPr>
          <w:rFonts w:ascii="Arial" w:hAnsi="Arial" w:cs="Arial"/>
          <w:bCs/>
          <w:sz w:val="22"/>
          <w:szCs w:val="22"/>
        </w:rPr>
      </w:pPr>
      <w:hyperlink r:id="rId10" w:history="1">
        <w:r>
          <w:rPr>
            <w:rStyle w:val="Hyperlink"/>
            <w:rFonts w:ascii="Arial" w:hAnsi="Arial"/>
            <w:sz w:val="22"/>
          </w:rPr>
          <w:t>lea.thiele@rud.com</w:t>
        </w:r>
      </w:hyperlink>
    </w:p>
    <w:p w14:paraId="1612D1BC" w14:textId="03A4B38E" w:rsidR="00C900AB" w:rsidRPr="00944BF1" w:rsidRDefault="00C900AB" w:rsidP="004D37EF">
      <w:pPr>
        <w:spacing w:line="276" w:lineRule="auto"/>
        <w:rPr>
          <w:rFonts w:ascii="Arial" w:hAnsi="Arial" w:cs="Arial"/>
          <w:bCs/>
          <w:sz w:val="22"/>
          <w:szCs w:val="22"/>
        </w:rPr>
      </w:pPr>
    </w:p>
    <w:sectPr w:rsidR="00C900AB" w:rsidRPr="00944BF1" w:rsidSect="0093318A">
      <w:headerReference w:type="defaul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2E90" w14:textId="77777777" w:rsidR="009B7847" w:rsidRDefault="009B7847" w:rsidP="000F2EDC">
      <w:r>
        <w:separator/>
      </w:r>
    </w:p>
  </w:endnote>
  <w:endnote w:type="continuationSeparator" w:id="0">
    <w:p w14:paraId="28483A2A" w14:textId="77777777" w:rsidR="009B7847" w:rsidRDefault="009B7847"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E91F" w14:textId="77777777" w:rsidR="009B7847" w:rsidRDefault="009B7847" w:rsidP="000F2EDC">
      <w:r>
        <w:separator/>
      </w:r>
    </w:p>
  </w:footnote>
  <w:footnote w:type="continuationSeparator" w:id="0">
    <w:p w14:paraId="4C754EA1" w14:textId="77777777" w:rsidR="009B7847" w:rsidRDefault="009B7847"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AAA5" w14:textId="77777777" w:rsidR="000F09BE" w:rsidRDefault="000F09BE" w:rsidP="000F09BE">
    <w:pPr>
      <w:pStyle w:val="Kopfzeile"/>
    </w:pPr>
    <w:r>
      <w:rPr>
        <w:noProof/>
      </w:rPr>
      <mc:AlternateContent>
        <mc:Choice Requires="wps">
          <w:drawing>
            <wp:anchor distT="0" distB="0" distL="114300" distR="114300" simplePos="0" relativeHeight="251660288" behindDoc="0" locked="0" layoutInCell="1" allowOverlap="1" wp14:anchorId="10843963" wp14:editId="3B9A3C58">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EF460" w14:textId="77777777" w:rsidR="000F09BE" w:rsidRPr="005262B0" w:rsidRDefault="000F09BE" w:rsidP="000F09BE">
                          <w:pPr>
                            <w:pStyle w:val="Kopfzeile"/>
                            <w:rPr>
                              <w:rFonts w:ascii="Nunito Sans" w:hAnsi="Nunito Sans"/>
                              <w:color w:val="2C69B2"/>
                            </w:rPr>
                          </w:pPr>
                          <w:r>
                            <w:rPr>
                              <w:rFonts w:ascii="Nunito Sans" w:hAnsi="Nunito Sans"/>
                              <w:b/>
                              <w:color w:val="2C69B2"/>
                              <w:sz w:val="44"/>
                            </w:rPr>
                            <w:t>Press release</w:t>
                          </w:r>
                        </w:p>
                        <w:p w14:paraId="5961E98E" w14:textId="77777777" w:rsidR="000F09BE" w:rsidRDefault="000F09BE" w:rsidP="000F0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43963" id="_x0000_t202" coordsize="21600,21600" o:spt="202" path="m,l,21600r21600,l21600,xe">
              <v:stroke joinstyle="miter"/>
              <v:path gradientshapeok="t" o:connecttype="rect"/>
            </v:shapetype>
            <v:shape id="Text Box 15" o:spid="_x0000_s1026" type="#_x0000_t202" style="position:absolute;margin-left:-7.95pt;margin-top:33pt;width:27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392EF460" w14:textId="77777777" w:rsidR="000F09BE" w:rsidRPr="005262B0" w:rsidRDefault="000F09BE" w:rsidP="000F09BE">
                    <w:pPr>
                      <w:pStyle w:val="Kopfzeile"/>
                      <w:rPr>
                        <w:rFonts w:ascii="Nunito Sans" w:hAnsi="Nunito Sans"/>
                        <w:color w:val="2C69B2"/>
                      </w:rPr>
                    </w:pPr>
                    <w:r>
                      <w:rPr>
                        <w:rFonts w:ascii="Nunito Sans" w:hAnsi="Nunito Sans"/>
                        <w:b/>
                        <w:color w:val="2C69B2"/>
                        <w:sz w:val="44"/>
                      </w:rPr>
                      <w:t>Press release</w:t>
                    </w:r>
                  </w:p>
                  <w:p w14:paraId="5961E98E" w14:textId="77777777" w:rsidR="000F09BE" w:rsidRDefault="000F09BE" w:rsidP="000F09B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709CA58" wp14:editId="3DA46BA9">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9CEE5" w14:textId="77777777" w:rsidR="000F09BE" w:rsidRDefault="000F09BE" w:rsidP="000F09BE">
                          <w:r>
                            <w:rPr>
                              <w:noProof/>
                            </w:rPr>
                            <w:drawing>
                              <wp:inline distT="0" distB="0" distL="0" distR="0" wp14:anchorId="5692E6A8" wp14:editId="5CA78F19">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9CA58"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1C49CEE5" w14:textId="77777777" w:rsidR="000F09BE" w:rsidRDefault="000F09BE" w:rsidP="000F09BE">
                    <w:r>
                      <w:rPr>
                        <w:noProof/>
                      </w:rPr>
                      <w:drawing>
                        <wp:inline distT="0" distB="0" distL="0" distR="0" wp14:anchorId="5692E6A8" wp14:editId="5CA78F19">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p w14:paraId="30D723F0" w14:textId="526071B4" w:rsidR="000F09BE" w:rsidRPr="000F09BE" w:rsidRDefault="000F09BE" w:rsidP="000F09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0558"/>
    <w:rsid w:val="00001B6B"/>
    <w:rsid w:val="00003D3C"/>
    <w:rsid w:val="00006494"/>
    <w:rsid w:val="00021ECF"/>
    <w:rsid w:val="0003759A"/>
    <w:rsid w:val="00042519"/>
    <w:rsid w:val="00061CBA"/>
    <w:rsid w:val="0009694F"/>
    <w:rsid w:val="000B0EAA"/>
    <w:rsid w:val="000C4438"/>
    <w:rsid w:val="000D4B6D"/>
    <w:rsid w:val="000E3324"/>
    <w:rsid w:val="000E5765"/>
    <w:rsid w:val="000F09BE"/>
    <w:rsid w:val="000F2EDC"/>
    <w:rsid w:val="000F3173"/>
    <w:rsid w:val="00124802"/>
    <w:rsid w:val="00134370"/>
    <w:rsid w:val="00142870"/>
    <w:rsid w:val="0014613B"/>
    <w:rsid w:val="00152B61"/>
    <w:rsid w:val="0017143D"/>
    <w:rsid w:val="001744B3"/>
    <w:rsid w:val="00184F92"/>
    <w:rsid w:val="0018557A"/>
    <w:rsid w:val="0019096D"/>
    <w:rsid w:val="00193DAD"/>
    <w:rsid w:val="00196B8B"/>
    <w:rsid w:val="001A06D9"/>
    <w:rsid w:val="001A1973"/>
    <w:rsid w:val="001A5EBC"/>
    <w:rsid w:val="001A63C3"/>
    <w:rsid w:val="001B510B"/>
    <w:rsid w:val="001B64DB"/>
    <w:rsid w:val="001B6D6E"/>
    <w:rsid w:val="001B7130"/>
    <w:rsid w:val="001C2018"/>
    <w:rsid w:val="001D573D"/>
    <w:rsid w:val="001F2528"/>
    <w:rsid w:val="00200256"/>
    <w:rsid w:val="00210D0A"/>
    <w:rsid w:val="0021106D"/>
    <w:rsid w:val="002112E7"/>
    <w:rsid w:val="002451FE"/>
    <w:rsid w:val="0024628C"/>
    <w:rsid w:val="002514B4"/>
    <w:rsid w:val="00253EFB"/>
    <w:rsid w:val="0026149C"/>
    <w:rsid w:val="002640F2"/>
    <w:rsid w:val="00266A18"/>
    <w:rsid w:val="002705DE"/>
    <w:rsid w:val="0027448A"/>
    <w:rsid w:val="00277641"/>
    <w:rsid w:val="002876F8"/>
    <w:rsid w:val="002A5BC1"/>
    <w:rsid w:val="002A7B35"/>
    <w:rsid w:val="002B03C3"/>
    <w:rsid w:val="002B5C9D"/>
    <w:rsid w:val="002C2D08"/>
    <w:rsid w:val="002D4EE0"/>
    <w:rsid w:val="002D6EC0"/>
    <w:rsid w:val="002E5372"/>
    <w:rsid w:val="002E7485"/>
    <w:rsid w:val="002F4D4A"/>
    <w:rsid w:val="00302F13"/>
    <w:rsid w:val="00306935"/>
    <w:rsid w:val="00327819"/>
    <w:rsid w:val="003278C1"/>
    <w:rsid w:val="00354CAE"/>
    <w:rsid w:val="003600BF"/>
    <w:rsid w:val="00362D20"/>
    <w:rsid w:val="00370828"/>
    <w:rsid w:val="00374188"/>
    <w:rsid w:val="00382CBC"/>
    <w:rsid w:val="003A6D8E"/>
    <w:rsid w:val="003D22B6"/>
    <w:rsid w:val="003D2567"/>
    <w:rsid w:val="003F00C8"/>
    <w:rsid w:val="0041249C"/>
    <w:rsid w:val="00414A8F"/>
    <w:rsid w:val="00416913"/>
    <w:rsid w:val="004242BE"/>
    <w:rsid w:val="004304ED"/>
    <w:rsid w:val="00461488"/>
    <w:rsid w:val="00493982"/>
    <w:rsid w:val="004A2DCE"/>
    <w:rsid w:val="004A50BE"/>
    <w:rsid w:val="004A6707"/>
    <w:rsid w:val="004D226B"/>
    <w:rsid w:val="004D37EF"/>
    <w:rsid w:val="004F1A9F"/>
    <w:rsid w:val="00500478"/>
    <w:rsid w:val="00515161"/>
    <w:rsid w:val="0051599C"/>
    <w:rsid w:val="005222F1"/>
    <w:rsid w:val="005262B0"/>
    <w:rsid w:val="005311E7"/>
    <w:rsid w:val="005545D5"/>
    <w:rsid w:val="00561B61"/>
    <w:rsid w:val="0056290A"/>
    <w:rsid w:val="0058018B"/>
    <w:rsid w:val="00581B6C"/>
    <w:rsid w:val="00583D65"/>
    <w:rsid w:val="005911A7"/>
    <w:rsid w:val="005A25E3"/>
    <w:rsid w:val="005B7061"/>
    <w:rsid w:val="005C3A36"/>
    <w:rsid w:val="005C4CCA"/>
    <w:rsid w:val="005C5737"/>
    <w:rsid w:val="005C7528"/>
    <w:rsid w:val="005D23B1"/>
    <w:rsid w:val="005E4E11"/>
    <w:rsid w:val="005E5FA1"/>
    <w:rsid w:val="00601245"/>
    <w:rsid w:val="00602812"/>
    <w:rsid w:val="00617B8F"/>
    <w:rsid w:val="00623505"/>
    <w:rsid w:val="00624AE2"/>
    <w:rsid w:val="006275D4"/>
    <w:rsid w:val="0063687A"/>
    <w:rsid w:val="00643442"/>
    <w:rsid w:val="006571D8"/>
    <w:rsid w:val="006778E4"/>
    <w:rsid w:val="00682C7A"/>
    <w:rsid w:val="00684707"/>
    <w:rsid w:val="0068653A"/>
    <w:rsid w:val="00694D27"/>
    <w:rsid w:val="006B0D31"/>
    <w:rsid w:val="006E4A02"/>
    <w:rsid w:val="0070699B"/>
    <w:rsid w:val="007069D3"/>
    <w:rsid w:val="00706BCC"/>
    <w:rsid w:val="0071776B"/>
    <w:rsid w:val="007302FC"/>
    <w:rsid w:val="007459F7"/>
    <w:rsid w:val="0075162A"/>
    <w:rsid w:val="007868C8"/>
    <w:rsid w:val="007D3A66"/>
    <w:rsid w:val="007D5414"/>
    <w:rsid w:val="007F1A21"/>
    <w:rsid w:val="007F33F7"/>
    <w:rsid w:val="0080065B"/>
    <w:rsid w:val="00813E2A"/>
    <w:rsid w:val="00834A20"/>
    <w:rsid w:val="00843347"/>
    <w:rsid w:val="00852626"/>
    <w:rsid w:val="0086173E"/>
    <w:rsid w:val="00874C35"/>
    <w:rsid w:val="00881CD6"/>
    <w:rsid w:val="00892782"/>
    <w:rsid w:val="00892B7C"/>
    <w:rsid w:val="0089607A"/>
    <w:rsid w:val="008B466D"/>
    <w:rsid w:val="008B4AE0"/>
    <w:rsid w:val="008B5B7B"/>
    <w:rsid w:val="008D09F1"/>
    <w:rsid w:val="008F0A15"/>
    <w:rsid w:val="00900AF0"/>
    <w:rsid w:val="00901397"/>
    <w:rsid w:val="00910836"/>
    <w:rsid w:val="009161BA"/>
    <w:rsid w:val="0093318A"/>
    <w:rsid w:val="00934779"/>
    <w:rsid w:val="009440C4"/>
    <w:rsid w:val="00944BF1"/>
    <w:rsid w:val="00957536"/>
    <w:rsid w:val="00962E4C"/>
    <w:rsid w:val="00970EDD"/>
    <w:rsid w:val="0097301D"/>
    <w:rsid w:val="00982457"/>
    <w:rsid w:val="00994D9C"/>
    <w:rsid w:val="009B7847"/>
    <w:rsid w:val="009C346B"/>
    <w:rsid w:val="009C4AE0"/>
    <w:rsid w:val="009D020D"/>
    <w:rsid w:val="009D423C"/>
    <w:rsid w:val="009D6B99"/>
    <w:rsid w:val="009E07AB"/>
    <w:rsid w:val="009E1632"/>
    <w:rsid w:val="009F0C51"/>
    <w:rsid w:val="009F7184"/>
    <w:rsid w:val="009F7241"/>
    <w:rsid w:val="00A035A3"/>
    <w:rsid w:val="00A04C4F"/>
    <w:rsid w:val="00A26510"/>
    <w:rsid w:val="00A33403"/>
    <w:rsid w:val="00A362DA"/>
    <w:rsid w:val="00A653AB"/>
    <w:rsid w:val="00A65D89"/>
    <w:rsid w:val="00A76700"/>
    <w:rsid w:val="00A76B82"/>
    <w:rsid w:val="00A914D7"/>
    <w:rsid w:val="00AA54BB"/>
    <w:rsid w:val="00AC5CAB"/>
    <w:rsid w:val="00B06B68"/>
    <w:rsid w:val="00B10950"/>
    <w:rsid w:val="00B13056"/>
    <w:rsid w:val="00B21C38"/>
    <w:rsid w:val="00B51038"/>
    <w:rsid w:val="00B570DE"/>
    <w:rsid w:val="00B603FC"/>
    <w:rsid w:val="00B61FDE"/>
    <w:rsid w:val="00B656D0"/>
    <w:rsid w:val="00B66C2E"/>
    <w:rsid w:val="00B71E3B"/>
    <w:rsid w:val="00B74C5B"/>
    <w:rsid w:val="00B80021"/>
    <w:rsid w:val="00B84789"/>
    <w:rsid w:val="00B86997"/>
    <w:rsid w:val="00BB0561"/>
    <w:rsid w:val="00BB3D6D"/>
    <w:rsid w:val="00BB3E30"/>
    <w:rsid w:val="00BB7AAD"/>
    <w:rsid w:val="00C469A9"/>
    <w:rsid w:val="00C510E3"/>
    <w:rsid w:val="00C6014D"/>
    <w:rsid w:val="00C82061"/>
    <w:rsid w:val="00C900AB"/>
    <w:rsid w:val="00C945C4"/>
    <w:rsid w:val="00C950CB"/>
    <w:rsid w:val="00CA571E"/>
    <w:rsid w:val="00CA5E1D"/>
    <w:rsid w:val="00CA670F"/>
    <w:rsid w:val="00CA7F53"/>
    <w:rsid w:val="00CB1F5C"/>
    <w:rsid w:val="00CD4E84"/>
    <w:rsid w:val="00CE580A"/>
    <w:rsid w:val="00CF01A3"/>
    <w:rsid w:val="00CF0408"/>
    <w:rsid w:val="00CF207B"/>
    <w:rsid w:val="00D02915"/>
    <w:rsid w:val="00D41A29"/>
    <w:rsid w:val="00D67D7D"/>
    <w:rsid w:val="00DA3024"/>
    <w:rsid w:val="00DC23A0"/>
    <w:rsid w:val="00DC5BD2"/>
    <w:rsid w:val="00DD4335"/>
    <w:rsid w:val="00DE7F06"/>
    <w:rsid w:val="00E205ED"/>
    <w:rsid w:val="00E23C07"/>
    <w:rsid w:val="00E27822"/>
    <w:rsid w:val="00E31431"/>
    <w:rsid w:val="00E351A7"/>
    <w:rsid w:val="00E3709E"/>
    <w:rsid w:val="00E50E80"/>
    <w:rsid w:val="00E5594C"/>
    <w:rsid w:val="00E647FE"/>
    <w:rsid w:val="00E82510"/>
    <w:rsid w:val="00E84123"/>
    <w:rsid w:val="00E9037A"/>
    <w:rsid w:val="00E915CB"/>
    <w:rsid w:val="00EA7FC9"/>
    <w:rsid w:val="00EB39F1"/>
    <w:rsid w:val="00EB7D96"/>
    <w:rsid w:val="00EC4D44"/>
    <w:rsid w:val="00EC6A11"/>
    <w:rsid w:val="00EC7FC6"/>
    <w:rsid w:val="00ED21A3"/>
    <w:rsid w:val="00ED39C4"/>
    <w:rsid w:val="00EE2549"/>
    <w:rsid w:val="00EE4363"/>
    <w:rsid w:val="00EE7A59"/>
    <w:rsid w:val="00EF4097"/>
    <w:rsid w:val="00F06DD5"/>
    <w:rsid w:val="00F12D2D"/>
    <w:rsid w:val="00F325DA"/>
    <w:rsid w:val="00F32B5B"/>
    <w:rsid w:val="00F5590E"/>
    <w:rsid w:val="00F604E0"/>
    <w:rsid w:val="00F6504B"/>
    <w:rsid w:val="00F6601F"/>
    <w:rsid w:val="00F84E28"/>
    <w:rsid w:val="00F86850"/>
    <w:rsid w:val="00F91911"/>
    <w:rsid w:val="00F93AFD"/>
    <w:rsid w:val="00F95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C6014D"/>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80065B"/>
    <w:rPr>
      <w:color w:val="605E5C"/>
      <w:shd w:val="clear" w:color="auto" w:fill="E1DFDD"/>
    </w:rPr>
  </w:style>
  <w:style w:type="character" w:styleId="BesuchterLink">
    <w:name w:val="FollowedHyperlink"/>
    <w:basedOn w:val="Absatz-Standardschriftart"/>
    <w:uiPriority w:val="99"/>
    <w:semiHidden/>
    <w:unhideWhenUsed/>
    <w:rsid w:val="00800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354">
      <w:bodyDiv w:val="1"/>
      <w:marLeft w:val="0"/>
      <w:marRight w:val="0"/>
      <w:marTop w:val="0"/>
      <w:marBottom w:val="0"/>
      <w:divBdr>
        <w:top w:val="none" w:sz="0" w:space="0" w:color="auto"/>
        <w:left w:val="none" w:sz="0" w:space="0" w:color="auto"/>
        <w:bottom w:val="none" w:sz="0" w:space="0" w:color="auto"/>
        <w:right w:val="none" w:sz="0" w:space="0" w:color="auto"/>
      </w:divBdr>
    </w:div>
    <w:div w:id="350106810">
      <w:bodyDiv w:val="1"/>
      <w:marLeft w:val="0"/>
      <w:marRight w:val="0"/>
      <w:marTop w:val="0"/>
      <w:marBottom w:val="0"/>
      <w:divBdr>
        <w:top w:val="none" w:sz="0" w:space="0" w:color="auto"/>
        <w:left w:val="none" w:sz="0" w:space="0" w:color="auto"/>
        <w:bottom w:val="none" w:sz="0" w:space="0" w:color="auto"/>
        <w:right w:val="none" w:sz="0" w:space="0" w:color="auto"/>
      </w:divBdr>
    </w:div>
    <w:div w:id="510218128">
      <w:bodyDiv w:val="1"/>
      <w:marLeft w:val="0"/>
      <w:marRight w:val="0"/>
      <w:marTop w:val="0"/>
      <w:marBottom w:val="0"/>
      <w:divBdr>
        <w:top w:val="none" w:sz="0" w:space="0" w:color="auto"/>
        <w:left w:val="none" w:sz="0" w:space="0" w:color="auto"/>
        <w:bottom w:val="none" w:sz="0" w:space="0" w:color="auto"/>
        <w:right w:val="none" w:sz="0" w:space="0" w:color="auto"/>
      </w:divBdr>
    </w:div>
    <w:div w:id="13904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thiele@rud.com" TargetMode="External"/><Relationship Id="rId4" Type="http://schemas.openxmlformats.org/officeDocument/2006/relationships/settings" Target="settings.xml"/><Relationship Id="rId9" Type="http://schemas.openxmlformats.org/officeDocument/2006/relationships/hyperlink" Target="https://slingandlashing.rud.com/?gad_source=1&amp;gclid=EAIaIQobChMI9M33i_nzhwMVfKWDBx36OQFXEAAYASAAEgLFY_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C9CB-6F98-413A-9F48-17FBDE5B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4750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6</cp:revision>
  <cp:lastPrinted>2024-09-17T10:48:00Z</cp:lastPrinted>
  <dcterms:created xsi:type="dcterms:W3CDTF">2024-09-16T13:27:00Z</dcterms:created>
  <dcterms:modified xsi:type="dcterms:W3CDTF">2025-07-29T14:20:00Z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ac8b1-ddc0-43bb-9209-4636dab107d5_Enabled">
    <vt:lpwstr>true</vt:lpwstr>
  </property>
  <property fmtid="{D5CDD505-2E9C-101B-9397-08002B2CF9AE}" pid="3" name="MSIP_Label_a8fac8b1-ddc0-43bb-9209-4636dab107d5_SetDate">
    <vt:lpwstr>2024-08-26T15:26:42Z</vt:lpwstr>
  </property>
  <property fmtid="{D5CDD505-2E9C-101B-9397-08002B2CF9AE}" pid="4" name="MSIP_Label_a8fac8b1-ddc0-43bb-9209-4636dab107d5_Method">
    <vt:lpwstr>Standard</vt:lpwstr>
  </property>
  <property fmtid="{D5CDD505-2E9C-101B-9397-08002B2CF9AE}" pid="5" name="MSIP_Label_a8fac8b1-ddc0-43bb-9209-4636dab107d5_Name">
    <vt:lpwstr>RUD_L_Internal-0</vt:lpwstr>
  </property>
  <property fmtid="{D5CDD505-2E9C-101B-9397-08002B2CF9AE}" pid="6" name="MSIP_Label_a8fac8b1-ddc0-43bb-9209-4636dab107d5_SiteId">
    <vt:lpwstr>8957291d-e76d-4f8a-9f05-ede61b839b5b</vt:lpwstr>
  </property>
  <property fmtid="{D5CDD505-2E9C-101B-9397-08002B2CF9AE}" pid="7" name="MSIP_Label_a8fac8b1-ddc0-43bb-9209-4636dab107d5_ActionId">
    <vt:lpwstr>34417f6b-9dd8-4721-a818-e0ea57f24fd2</vt:lpwstr>
  </property>
  <property fmtid="{D5CDD505-2E9C-101B-9397-08002B2CF9AE}" pid="8" name="MSIP_Label_a8fac8b1-ddc0-43bb-9209-4636dab107d5_ContentBits">
    <vt:lpwstr>0</vt:lpwstr>
  </property>
</Properties>
</file>