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9AA" w14:textId="77777777" w:rsidR="004B0733" w:rsidRPr="00D24DD6" w:rsidRDefault="004B0733" w:rsidP="004B0733">
      <w:pPr>
        <w:tabs>
          <w:tab w:val="left" w:pos="6946"/>
        </w:tabs>
        <w:spacing w:line="276" w:lineRule="auto"/>
        <w:rPr>
          <w:rFonts w:ascii="Arial" w:hAnsi="Arial" w:cs="Arial"/>
          <w:b/>
          <w:sz w:val="22"/>
        </w:rPr>
      </w:pPr>
      <w:r w:rsidRPr="00D24DD6">
        <w:rPr>
          <w:rFonts w:ascii="Arial" w:hAnsi="Arial" w:cs="Arial"/>
          <w:sz w:val="22"/>
          <w:u w:val="single"/>
        </w:rPr>
        <w:t>Erster Anschlagpunkt mit DNV-Zertifizierung für Subsea-Einsätze</w:t>
      </w:r>
    </w:p>
    <w:p w14:paraId="71FEE7AA" w14:textId="77777777" w:rsidR="004B0733" w:rsidRPr="00D24DD6" w:rsidRDefault="004B0733" w:rsidP="004B0733">
      <w:pPr>
        <w:spacing w:line="276" w:lineRule="auto"/>
        <w:rPr>
          <w:rFonts w:ascii="Arial" w:hAnsi="Arial" w:cs="Arial"/>
        </w:rPr>
      </w:pPr>
    </w:p>
    <w:p w14:paraId="5B0A4B7C" w14:textId="77777777" w:rsidR="004B0733" w:rsidRPr="00D24DD6" w:rsidRDefault="004B0733" w:rsidP="004B0733">
      <w:pPr>
        <w:widowControl w:val="0"/>
        <w:tabs>
          <w:tab w:val="left" w:pos="8647"/>
        </w:tabs>
        <w:autoSpaceDE w:val="0"/>
        <w:autoSpaceDN w:val="0"/>
        <w:adjustRightInd w:val="0"/>
        <w:spacing w:line="276" w:lineRule="auto"/>
        <w:rPr>
          <w:rFonts w:ascii="Arial" w:hAnsi="Arial" w:cs="Arial"/>
          <w:b/>
          <w:bCs/>
          <w:sz w:val="28"/>
          <w:szCs w:val="28"/>
        </w:rPr>
      </w:pPr>
      <w:r w:rsidRPr="00D24DD6">
        <w:rPr>
          <w:rFonts w:ascii="Arial" w:hAnsi="Arial" w:cs="Arial"/>
          <w:b/>
          <w:bCs/>
          <w:sz w:val="28"/>
          <w:szCs w:val="28"/>
        </w:rPr>
        <w:t>Neuer Stern der maritimen Anschlagtechnik:</w:t>
      </w:r>
    </w:p>
    <w:p w14:paraId="34FEAF16" w14:textId="77777777" w:rsidR="004B0733" w:rsidRPr="00D24DD6" w:rsidRDefault="004B0733" w:rsidP="004B0733">
      <w:pPr>
        <w:widowControl w:val="0"/>
        <w:tabs>
          <w:tab w:val="left" w:pos="8647"/>
        </w:tabs>
        <w:autoSpaceDE w:val="0"/>
        <w:autoSpaceDN w:val="0"/>
        <w:adjustRightInd w:val="0"/>
        <w:spacing w:line="276" w:lineRule="auto"/>
        <w:rPr>
          <w:rFonts w:ascii="Arial" w:hAnsi="Arial" w:cs="Arial"/>
          <w:b/>
          <w:bCs/>
          <w:sz w:val="28"/>
          <w:szCs w:val="28"/>
        </w:rPr>
      </w:pPr>
      <w:r w:rsidRPr="00D24DD6">
        <w:rPr>
          <w:rFonts w:ascii="Arial" w:hAnsi="Arial" w:cs="Arial"/>
          <w:b/>
          <w:bCs/>
          <w:sz w:val="28"/>
          <w:szCs w:val="28"/>
        </w:rPr>
        <w:t>Der ACP-TURNADO OCEANSTAR von RUD</w:t>
      </w:r>
    </w:p>
    <w:p w14:paraId="298FAD12" w14:textId="77777777" w:rsidR="004B0733" w:rsidRPr="00D24DD6" w:rsidRDefault="004B0733" w:rsidP="004B0733">
      <w:pPr>
        <w:widowControl w:val="0"/>
        <w:tabs>
          <w:tab w:val="left" w:pos="8647"/>
        </w:tabs>
        <w:autoSpaceDE w:val="0"/>
        <w:autoSpaceDN w:val="0"/>
        <w:adjustRightInd w:val="0"/>
        <w:spacing w:line="276" w:lineRule="auto"/>
        <w:rPr>
          <w:rFonts w:ascii="Arial" w:hAnsi="Arial" w:cs="Arial"/>
          <w:sz w:val="22"/>
        </w:rPr>
      </w:pPr>
    </w:p>
    <w:p w14:paraId="07EF495C"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b/>
          <w:bCs/>
          <w:i/>
          <w:iCs/>
          <w:sz w:val="22"/>
        </w:rPr>
      </w:pPr>
      <w:r w:rsidRPr="00774305">
        <w:rPr>
          <w:rFonts w:ascii="Arial" w:hAnsi="Arial" w:cs="Arial"/>
          <w:b/>
          <w:bCs/>
          <w:sz w:val="22"/>
        </w:rPr>
        <w:t xml:space="preserve">Aalen, </w:t>
      </w:r>
      <w:r>
        <w:rPr>
          <w:rFonts w:ascii="Arial" w:hAnsi="Arial" w:cs="Arial"/>
          <w:b/>
          <w:bCs/>
          <w:sz w:val="22"/>
        </w:rPr>
        <w:t xml:space="preserve">01. </w:t>
      </w:r>
      <w:r w:rsidRPr="00774305">
        <w:rPr>
          <w:rFonts w:ascii="Arial" w:hAnsi="Arial" w:cs="Arial"/>
          <w:b/>
          <w:bCs/>
          <w:sz w:val="22"/>
        </w:rPr>
        <w:t xml:space="preserve">September 2026 – </w:t>
      </w:r>
      <w:r w:rsidRPr="00774305">
        <w:rPr>
          <w:rFonts w:ascii="Arial" w:hAnsi="Arial" w:cs="Arial"/>
          <w:b/>
          <w:bCs/>
          <w:i/>
          <w:iCs/>
          <w:sz w:val="22"/>
        </w:rPr>
        <w:t>RUD erweitert die Reihe seiner bewährten ACP-TURNADO-Anschlagpunkte um eine Variante für maritime Umgebungen. Der ACP-TURNADO OCEANSTAR verfügt als erster Anschlagpunkt überhaupt über eine DNV-Zertifizierung für Subsea-Anwendungen und eignet sich dadurch insbesondere für Einsätze in Offshorebauwerken (z.B. Windparks, Bohrinseln), Werften und Unterwasserbauprojekten sowie den entsprechenden Zulieferindustrien.</w:t>
      </w:r>
    </w:p>
    <w:p w14:paraId="01DDFC48"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b/>
          <w:bCs/>
          <w:i/>
          <w:iCs/>
          <w:sz w:val="22"/>
        </w:rPr>
      </w:pPr>
    </w:p>
    <w:p w14:paraId="3C240FED"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sz w:val="22"/>
          <w:szCs w:val="22"/>
        </w:rPr>
      </w:pPr>
      <w:r w:rsidRPr="00774305">
        <w:rPr>
          <w:rFonts w:ascii="Arial" w:hAnsi="Arial" w:cs="Arial"/>
          <w:sz w:val="22"/>
        </w:rPr>
        <w:t>Auch bei Hebeprozessen unter Wasser kommen als Verbindungselemente zwischen Anschlagmitteln und Last meist Anschlagpunkte zum Einsatz. Gleichwohl waren am Markt bisher keine Anschlagpunkte erhältlich, die speziell auf Unterwasser-Anwendungen zugeschnitten waren und über entsprechende Zertifizierungen verfügten. Diese Lücke schließt jetzt der ACP-TURNADO OCEANSTAR, das neue Mitglied der ACP-TURNADO-Familie von RUD. Gezielt für Einsätze unter Wasser entwickelt, ist er als erster Anschlagpunkt überhaupt gemäß D</w:t>
      </w:r>
      <w:r w:rsidRPr="00774305">
        <w:rPr>
          <w:rFonts w:ascii="Arial" w:hAnsi="Arial" w:cs="Arial"/>
          <w:sz w:val="22"/>
          <w:szCs w:val="22"/>
        </w:rPr>
        <w:t>NV ST-0377 und ST-0378 für Subsea-Einsätze zertifiziert. Damit steht für Hebeprozesse in Offshore-Windparks, Werften oder bei verschiedensten Unterwasserbauprojekten erstmals ein offiziell zugelassener Anschlagpunkt zur Verfügung, der im Vergleich zu herkömmlichen Anschlagpunkten zudem eine ganze Reihe technologischer Vorteile aufweist.</w:t>
      </w:r>
    </w:p>
    <w:p w14:paraId="4E83D2A9"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32358CE4"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b/>
          <w:bCs/>
          <w:sz w:val="22"/>
          <w:szCs w:val="22"/>
        </w:rPr>
      </w:pPr>
      <w:r w:rsidRPr="00774305">
        <w:rPr>
          <w:rFonts w:ascii="Arial" w:hAnsi="Arial" w:cs="Arial"/>
          <w:b/>
          <w:bCs/>
          <w:sz w:val="22"/>
          <w:szCs w:val="22"/>
        </w:rPr>
        <w:t>Schutz vor Shock Loads durch spezielle Federmechanik</w:t>
      </w:r>
    </w:p>
    <w:p w14:paraId="4B6AC518"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5A18016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sidRPr="00774305">
        <w:rPr>
          <w:rFonts w:ascii="Arial" w:hAnsi="Arial" w:cs="Arial"/>
          <w:sz w:val="22"/>
          <w:szCs w:val="22"/>
        </w:rPr>
        <w:t>Schon allein durch seine um bis zu 30 Prozent höhere Tragfähigkeit ist der RUD ACP-TURNADO OCEANSTAR klassischen Anschlagpunkten ähnlicher Form und Bauart klar</w:t>
      </w:r>
      <w:r w:rsidRPr="00C13D85">
        <w:rPr>
          <w:rFonts w:ascii="Arial" w:hAnsi="Arial" w:cs="Arial"/>
          <w:sz w:val="22"/>
          <w:szCs w:val="22"/>
        </w:rPr>
        <w:t xml:space="preserve"> überlegen. Diese Tragfähigkeitsreserve bietet unter anderem bei dynamischen Lastspitzen – wie sie vor allem in der Splash Zone regelmäßig vorkommen – ein entscheidendes Plus an Sicherheit. Darüber hinaus ist auch der ACP-TURNADO OCEANSTAR wie alle ACP-TURNADO Anschlagpunkte von RUD mit einer speziellen Federmechanik ausgestattet, die ein senkrechtes Stehenbleiben und verzögertes Umschlagen seines Bügels verhindert. Stattdessen richtet sich der Bügel stets automatisch in Kraftrichtung aus. Das beugt Shock Loads vor, die durch schlagartiges Absacken der Last nach spontanem Umschlag des Bügels ausgelöst werden und neben der Last selbst auch Krantechnik, Lastaufnahmemittel und beteiligte Personen gefährden.</w:t>
      </w:r>
      <w:r w:rsidRPr="007E39B7">
        <w:rPr>
          <w:rFonts w:ascii="Arial" w:hAnsi="Arial" w:cs="Arial"/>
          <w:color w:val="000000" w:themeColor="text1"/>
          <w:sz w:val="22"/>
        </w:rPr>
        <w:t xml:space="preserve"> </w:t>
      </w:r>
    </w:p>
    <w:p w14:paraId="65F9FA5F"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206EC52" w14:textId="77777777" w:rsidR="004B0733" w:rsidRPr="00612A5F" w:rsidRDefault="004B0733" w:rsidP="004B0733">
      <w:pPr>
        <w:widowControl w:val="0"/>
        <w:tabs>
          <w:tab w:val="left" w:pos="8647"/>
        </w:tabs>
        <w:autoSpaceDE w:val="0"/>
        <w:autoSpaceDN w:val="0"/>
        <w:adjustRightInd w:val="0"/>
        <w:spacing w:line="276" w:lineRule="auto"/>
        <w:rPr>
          <w:rFonts w:ascii="Arial" w:hAnsi="Arial" w:cs="Arial"/>
          <w:b/>
          <w:bCs/>
          <w:sz w:val="22"/>
          <w:szCs w:val="22"/>
        </w:rPr>
      </w:pPr>
      <w:r>
        <w:rPr>
          <w:rFonts w:ascii="Arial" w:hAnsi="Arial" w:cs="Arial"/>
          <w:b/>
          <w:bCs/>
          <w:sz w:val="22"/>
          <w:szCs w:val="22"/>
        </w:rPr>
        <w:t>Außergewöhnlich h</w:t>
      </w:r>
      <w:r w:rsidRPr="00612A5F">
        <w:rPr>
          <w:rFonts w:ascii="Arial" w:hAnsi="Arial" w:cs="Arial"/>
          <w:b/>
          <w:bCs/>
          <w:sz w:val="22"/>
          <w:szCs w:val="22"/>
        </w:rPr>
        <w:t>ohe Korrosions- und Degradationsresistenz</w:t>
      </w:r>
    </w:p>
    <w:p w14:paraId="1EA4EF84"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388559BE" w14:textId="77777777" w:rsidR="004B0733" w:rsidRPr="00AB585E"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sz w:val="22"/>
          <w:szCs w:val="22"/>
        </w:rPr>
        <w:t>Ebenfalls ein Beitrag zum Thema Sicherheit ist die außergewöhnlich hohe Beständigkeit des ACP-TURNADO</w:t>
      </w:r>
      <w:r w:rsidRPr="00B9471A">
        <w:rPr>
          <w:rFonts w:ascii="Arial" w:hAnsi="Arial" w:cs="Arial"/>
          <w:sz w:val="22"/>
          <w:szCs w:val="22"/>
        </w:rPr>
        <w:t xml:space="preserve"> </w:t>
      </w:r>
      <w:r w:rsidRPr="00B9471A">
        <w:rPr>
          <w:rFonts w:ascii="Arial" w:hAnsi="Arial" w:cs="Arial"/>
          <w:sz w:val="22"/>
        </w:rPr>
        <w:t>OCEANSTAR</w:t>
      </w:r>
      <w:r>
        <w:rPr>
          <w:rFonts w:ascii="Arial" w:hAnsi="Arial" w:cs="Arial"/>
          <w:sz w:val="22"/>
        </w:rPr>
        <w:t xml:space="preserve"> gegenüber</w:t>
      </w:r>
      <w:r>
        <w:rPr>
          <w:rFonts w:ascii="Arial" w:hAnsi="Arial" w:cs="Arial"/>
          <w:sz w:val="22"/>
          <w:szCs w:val="22"/>
        </w:rPr>
        <w:t xml:space="preserve"> Korrosion und Materialdegradation. Eine </w:t>
      </w:r>
      <w:r w:rsidRPr="00B9471A">
        <w:rPr>
          <w:rFonts w:ascii="Arial" w:hAnsi="Arial" w:cs="Arial"/>
          <w:sz w:val="22"/>
          <w:szCs w:val="22"/>
        </w:rPr>
        <w:t>Zinklamellenbeschichtung</w:t>
      </w:r>
      <w:r>
        <w:rPr>
          <w:rFonts w:ascii="Arial" w:hAnsi="Arial" w:cs="Arial"/>
          <w:sz w:val="22"/>
          <w:szCs w:val="22"/>
        </w:rPr>
        <w:t xml:space="preserve"> aller Anschlagpunktkomponenten garantiert </w:t>
      </w:r>
      <w:r w:rsidRPr="00B9471A">
        <w:rPr>
          <w:rFonts w:ascii="Arial" w:hAnsi="Arial" w:cs="Arial"/>
          <w:sz w:val="22"/>
          <w:szCs w:val="22"/>
        </w:rPr>
        <w:t xml:space="preserve">eine Salzsprühbeständigkeit von </w:t>
      </w:r>
      <w:r>
        <w:rPr>
          <w:rFonts w:ascii="Arial" w:hAnsi="Arial" w:cs="Arial"/>
          <w:sz w:val="22"/>
          <w:szCs w:val="22"/>
        </w:rPr>
        <w:t xml:space="preserve">mindestens </w:t>
      </w:r>
      <w:r w:rsidRPr="00B9471A">
        <w:rPr>
          <w:rFonts w:ascii="Arial" w:hAnsi="Arial" w:cs="Arial"/>
          <w:sz w:val="22"/>
          <w:szCs w:val="22"/>
        </w:rPr>
        <w:t>720 Stunden gemäß DIN EN ISO 9227</w:t>
      </w:r>
      <w:r>
        <w:rPr>
          <w:rFonts w:ascii="Arial" w:hAnsi="Arial" w:cs="Arial"/>
          <w:sz w:val="22"/>
          <w:szCs w:val="22"/>
        </w:rPr>
        <w:t xml:space="preserve">. Eine </w:t>
      </w:r>
      <w:r w:rsidRPr="00797F90">
        <w:rPr>
          <w:rFonts w:ascii="Arial" w:hAnsi="Arial" w:cs="Arial"/>
          <w:sz w:val="22"/>
          <w:szCs w:val="22"/>
        </w:rPr>
        <w:lastRenderedPageBreak/>
        <w:t>verringerte Maximalhärte von</w:t>
      </w:r>
      <w:r>
        <w:rPr>
          <w:rFonts w:ascii="Arial" w:hAnsi="Arial" w:cs="Arial"/>
          <w:sz w:val="22"/>
          <w:szCs w:val="22"/>
        </w:rPr>
        <w:t xml:space="preserve"> ≤</w:t>
      </w:r>
      <w:r w:rsidRPr="00797F90">
        <w:rPr>
          <w:rFonts w:ascii="Arial" w:hAnsi="Arial" w:cs="Arial"/>
          <w:sz w:val="22"/>
          <w:szCs w:val="22"/>
        </w:rPr>
        <w:t xml:space="preserve"> 38 HRC in </w:t>
      </w:r>
      <w:r>
        <w:rPr>
          <w:rFonts w:ascii="Arial" w:hAnsi="Arial" w:cs="Arial"/>
          <w:sz w:val="22"/>
          <w:szCs w:val="22"/>
        </w:rPr>
        <w:t xml:space="preserve">sämtlichen </w:t>
      </w:r>
      <w:r w:rsidRPr="00797F90">
        <w:rPr>
          <w:rFonts w:ascii="Arial" w:hAnsi="Arial" w:cs="Arial"/>
          <w:sz w:val="22"/>
          <w:szCs w:val="22"/>
        </w:rPr>
        <w:t>Bauteilen</w:t>
      </w:r>
      <w:r>
        <w:rPr>
          <w:rFonts w:ascii="Arial" w:hAnsi="Arial" w:cs="Arial"/>
          <w:sz w:val="22"/>
          <w:szCs w:val="22"/>
        </w:rPr>
        <w:t xml:space="preserve"> beugt</w:t>
      </w:r>
      <w:r w:rsidRPr="00797F90">
        <w:rPr>
          <w:rFonts w:ascii="Arial" w:hAnsi="Arial" w:cs="Arial"/>
          <w:sz w:val="22"/>
          <w:szCs w:val="22"/>
        </w:rPr>
        <w:t xml:space="preserve"> wasserstoffinduzierte</w:t>
      </w:r>
      <w:r>
        <w:rPr>
          <w:rFonts w:ascii="Arial" w:hAnsi="Arial" w:cs="Arial"/>
          <w:sz w:val="22"/>
          <w:szCs w:val="22"/>
        </w:rPr>
        <w:t>n</w:t>
      </w:r>
      <w:r w:rsidRPr="00797F90">
        <w:rPr>
          <w:rFonts w:ascii="Arial" w:hAnsi="Arial" w:cs="Arial"/>
          <w:sz w:val="22"/>
          <w:szCs w:val="22"/>
        </w:rPr>
        <w:t xml:space="preserve"> Sprödbrüche</w:t>
      </w:r>
      <w:r>
        <w:rPr>
          <w:rFonts w:ascii="Arial" w:hAnsi="Arial" w:cs="Arial"/>
          <w:sz w:val="22"/>
          <w:szCs w:val="22"/>
        </w:rPr>
        <w:t>n</w:t>
      </w:r>
      <w:r w:rsidRPr="00130360">
        <w:rPr>
          <w:rFonts w:ascii="Arial" w:hAnsi="Arial" w:cs="Arial"/>
          <w:sz w:val="22"/>
          <w:szCs w:val="22"/>
        </w:rPr>
        <w:t xml:space="preserve"> </w:t>
      </w:r>
      <w:r>
        <w:rPr>
          <w:rFonts w:ascii="Arial" w:hAnsi="Arial" w:cs="Arial"/>
          <w:sz w:val="22"/>
          <w:szCs w:val="22"/>
        </w:rPr>
        <w:t xml:space="preserve">nachhaltig vor. </w:t>
      </w:r>
      <w:r w:rsidRPr="00797F90">
        <w:rPr>
          <w:rFonts w:ascii="Arial" w:hAnsi="Arial" w:cs="Arial"/>
          <w:sz w:val="22"/>
          <w:szCs w:val="22"/>
        </w:rPr>
        <w:t xml:space="preserve">Die 10.9 Schraube des ACP-TURNADO OCEANSTAR weist </w:t>
      </w:r>
      <w:r>
        <w:rPr>
          <w:rFonts w:ascii="Arial" w:hAnsi="Arial" w:cs="Arial"/>
          <w:sz w:val="22"/>
          <w:szCs w:val="22"/>
        </w:rPr>
        <w:t xml:space="preserve">überdies </w:t>
      </w:r>
      <w:r w:rsidRPr="00797F90">
        <w:rPr>
          <w:rFonts w:ascii="Arial" w:hAnsi="Arial" w:cs="Arial"/>
          <w:sz w:val="22"/>
          <w:szCs w:val="22"/>
        </w:rPr>
        <w:t>eine Kerbschlagzähigkeit von mindestens 36 Joule bei -40 Grad Celsius auf</w:t>
      </w:r>
      <w:r>
        <w:rPr>
          <w:rFonts w:ascii="Arial" w:hAnsi="Arial" w:cs="Arial"/>
          <w:sz w:val="22"/>
          <w:szCs w:val="22"/>
        </w:rPr>
        <w:t xml:space="preserve"> und steht damit ebenfalls für hohe Sprödbruchresistenz</w:t>
      </w:r>
      <w:r w:rsidRPr="00797F90">
        <w:rPr>
          <w:rFonts w:ascii="Arial" w:hAnsi="Arial" w:cs="Arial"/>
          <w:sz w:val="22"/>
          <w:szCs w:val="22"/>
        </w:rPr>
        <w:t xml:space="preserve">. </w:t>
      </w:r>
      <w:r>
        <w:rPr>
          <w:rFonts w:ascii="Arial" w:hAnsi="Arial" w:cs="Arial"/>
          <w:sz w:val="22"/>
          <w:szCs w:val="22"/>
        </w:rPr>
        <w:t>D</w:t>
      </w:r>
      <w:r w:rsidRPr="00797F90">
        <w:rPr>
          <w:rFonts w:ascii="Arial" w:hAnsi="Arial" w:cs="Arial"/>
          <w:sz w:val="22"/>
          <w:szCs w:val="22"/>
        </w:rPr>
        <w:t>ie technischen P</w:t>
      </w:r>
      <w:r>
        <w:rPr>
          <w:rFonts w:ascii="Arial" w:hAnsi="Arial" w:cs="Arial"/>
          <w:sz w:val="22"/>
          <w:szCs w:val="22"/>
        </w:rPr>
        <w:t>a</w:t>
      </w:r>
      <w:r w:rsidRPr="00797F90">
        <w:rPr>
          <w:rFonts w:ascii="Arial" w:hAnsi="Arial" w:cs="Arial"/>
          <w:sz w:val="22"/>
          <w:szCs w:val="22"/>
        </w:rPr>
        <w:t>rameter</w:t>
      </w:r>
      <w:r w:rsidRPr="00B9471A">
        <w:rPr>
          <w:rFonts w:ascii="Arial" w:hAnsi="Arial" w:cs="Arial"/>
          <w:sz w:val="22"/>
          <w:szCs w:val="22"/>
        </w:rPr>
        <w:t xml:space="preserve"> </w:t>
      </w:r>
      <w:r>
        <w:rPr>
          <w:rFonts w:ascii="Arial" w:hAnsi="Arial" w:cs="Arial"/>
          <w:sz w:val="22"/>
          <w:szCs w:val="22"/>
        </w:rPr>
        <w:t xml:space="preserve">erfüllen </w:t>
      </w:r>
      <w:r w:rsidRPr="00B9471A">
        <w:rPr>
          <w:rFonts w:ascii="Arial" w:hAnsi="Arial" w:cs="Arial"/>
          <w:sz w:val="22"/>
          <w:szCs w:val="22"/>
        </w:rPr>
        <w:t>damit alle relevanten Vorgaben der NORSOK R-002, der DIN EN 1677-1, der US-amerikanischen ASME B30</w:t>
      </w:r>
      <w:r>
        <w:rPr>
          <w:rFonts w:ascii="Arial" w:hAnsi="Arial" w:cs="Arial"/>
          <w:sz w:val="22"/>
          <w:szCs w:val="22"/>
        </w:rPr>
        <w:t>.</w:t>
      </w:r>
      <w:r w:rsidRPr="00B9471A">
        <w:rPr>
          <w:rFonts w:ascii="Arial" w:hAnsi="Arial" w:cs="Arial"/>
          <w:sz w:val="22"/>
          <w:szCs w:val="22"/>
        </w:rPr>
        <w:t>26 : 2015 sowie der DGUV-R 109-017 : 2020-12.</w:t>
      </w:r>
      <w:r w:rsidRPr="00EA2787">
        <w:rPr>
          <w:rFonts w:ascii="Arial" w:hAnsi="Arial" w:cs="Arial"/>
          <w:sz w:val="22"/>
          <w:szCs w:val="22"/>
        </w:rPr>
        <w:t xml:space="preserve"> </w:t>
      </w:r>
      <w:r w:rsidRPr="00B9471A">
        <w:rPr>
          <w:rFonts w:ascii="Arial" w:hAnsi="Arial" w:cs="Arial"/>
          <w:sz w:val="22"/>
          <w:szCs w:val="22"/>
        </w:rPr>
        <w:t>Die</w:t>
      </w:r>
      <w:r>
        <w:rPr>
          <w:rFonts w:ascii="Arial" w:hAnsi="Arial" w:cs="Arial"/>
          <w:sz w:val="22"/>
          <w:szCs w:val="22"/>
        </w:rPr>
        <w:t xml:space="preserve"> auffallende goldene</w:t>
      </w:r>
      <w:r w:rsidRPr="00B9471A">
        <w:rPr>
          <w:rFonts w:ascii="Arial" w:hAnsi="Arial" w:cs="Arial"/>
          <w:sz w:val="22"/>
          <w:szCs w:val="22"/>
        </w:rPr>
        <w:t xml:space="preserve"> Farbgebung </w:t>
      </w:r>
      <w:r>
        <w:rPr>
          <w:rFonts w:ascii="Arial" w:hAnsi="Arial" w:cs="Arial"/>
          <w:sz w:val="22"/>
          <w:szCs w:val="22"/>
        </w:rPr>
        <w:t xml:space="preserve">des Bügels </w:t>
      </w:r>
      <w:r w:rsidRPr="00B9471A">
        <w:rPr>
          <w:rFonts w:ascii="Arial" w:hAnsi="Arial" w:cs="Arial"/>
          <w:sz w:val="22"/>
          <w:szCs w:val="22"/>
        </w:rPr>
        <w:t>sorgt</w:t>
      </w:r>
      <w:r>
        <w:rPr>
          <w:rFonts w:ascii="Arial" w:hAnsi="Arial" w:cs="Arial"/>
          <w:sz w:val="22"/>
          <w:szCs w:val="22"/>
        </w:rPr>
        <w:t xml:space="preserve"> zudem </w:t>
      </w:r>
      <w:r w:rsidRPr="00B9471A">
        <w:rPr>
          <w:rFonts w:ascii="Arial" w:hAnsi="Arial" w:cs="Arial"/>
          <w:sz w:val="22"/>
          <w:szCs w:val="22"/>
        </w:rPr>
        <w:t xml:space="preserve">für gute Sichtbarkeit unter Wasser, was das Handling erleichtert und die </w:t>
      </w:r>
      <w:r w:rsidRPr="00797F90">
        <w:rPr>
          <w:rFonts w:ascii="Arial" w:hAnsi="Arial" w:cs="Arial"/>
          <w:sz w:val="22"/>
          <w:szCs w:val="22"/>
        </w:rPr>
        <w:t>Arbeitssicherheit bei Tauch- und Wartungseinsätzen erhöht.</w:t>
      </w:r>
      <w:r>
        <w:rPr>
          <w:rFonts w:ascii="Arial" w:hAnsi="Arial" w:cs="Arial"/>
          <w:sz w:val="22"/>
          <w:szCs w:val="22"/>
        </w:rPr>
        <w:t xml:space="preserve"> </w:t>
      </w:r>
      <w:r w:rsidRPr="00B9471A">
        <w:rPr>
          <w:rFonts w:ascii="Arial" w:hAnsi="Arial" w:cs="Arial"/>
          <w:sz w:val="22"/>
          <w:szCs w:val="22"/>
        </w:rPr>
        <w:t>Der</w:t>
      </w:r>
      <w:r>
        <w:rPr>
          <w:rFonts w:ascii="Arial" w:hAnsi="Arial" w:cs="Arial"/>
          <w:sz w:val="22"/>
          <w:szCs w:val="22"/>
        </w:rPr>
        <w:t xml:space="preserve"> RUD ACP-TURNADO OCEANSTAR</w:t>
      </w:r>
      <w:r w:rsidRPr="00B9471A">
        <w:rPr>
          <w:rFonts w:ascii="Arial" w:hAnsi="Arial" w:cs="Arial"/>
          <w:sz w:val="22"/>
          <w:szCs w:val="22"/>
        </w:rPr>
        <w:t xml:space="preserve"> ist in den Gewindegrößen M8 bis M30 und mit Traglasten (WLL) von 0,5 bis 8 Tonnen erhältlich.</w:t>
      </w:r>
      <w:r>
        <w:rPr>
          <w:rFonts w:ascii="Arial" w:hAnsi="Arial" w:cs="Arial"/>
          <w:sz w:val="22"/>
          <w:szCs w:val="22"/>
        </w:rPr>
        <w:t xml:space="preserve"> Er ist ab sofort bestellbar und ab Oktober lieferbar.</w:t>
      </w:r>
    </w:p>
    <w:p w14:paraId="6ED0B01A"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0B0CA73D"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B724D5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0D6A0BF"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5700CCBB" w14:textId="77777777" w:rsidR="004B0733" w:rsidRPr="004C709F" w:rsidRDefault="004B0733" w:rsidP="004B0733">
      <w:pPr>
        <w:widowControl w:val="0"/>
        <w:tabs>
          <w:tab w:val="left" w:pos="8647"/>
        </w:tabs>
        <w:autoSpaceDE w:val="0"/>
        <w:autoSpaceDN w:val="0"/>
        <w:adjustRightInd w:val="0"/>
        <w:spacing w:line="276" w:lineRule="auto"/>
        <w:rPr>
          <w:rFonts w:ascii="Arial" w:hAnsi="Arial" w:cs="Arial"/>
          <w:b/>
          <w:bCs/>
          <w:sz w:val="22"/>
          <w:szCs w:val="22"/>
          <w:u w:val="single"/>
        </w:rPr>
      </w:pPr>
      <w:r w:rsidRPr="004C709F">
        <w:rPr>
          <w:rFonts w:ascii="Arial" w:hAnsi="Arial" w:cs="Arial"/>
          <w:b/>
          <w:bCs/>
          <w:sz w:val="22"/>
          <w:szCs w:val="22"/>
          <w:u w:val="single"/>
        </w:rPr>
        <w:t>Bildstrecke:</w:t>
      </w:r>
    </w:p>
    <w:p w14:paraId="54BB025E"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2556A139"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noProof/>
          <w:sz w:val="22"/>
        </w:rPr>
        <w:drawing>
          <wp:inline distT="0" distB="0" distL="0" distR="0" wp14:anchorId="64520432" wp14:editId="2657E20B">
            <wp:extent cx="5629275" cy="3518451"/>
            <wp:effectExtent l="0" t="0" r="0" b="6350"/>
            <wp:docPr id="104368167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9296" name="Grafik 54862929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6660" cy="3535568"/>
                    </a:xfrm>
                    <a:prstGeom prst="rect">
                      <a:avLst/>
                    </a:prstGeom>
                  </pic:spPr>
                </pic:pic>
              </a:graphicData>
            </a:graphic>
          </wp:inline>
        </w:drawing>
      </w:r>
    </w:p>
    <w:p w14:paraId="0773CFB8" w14:textId="77777777" w:rsidR="004B0733" w:rsidRPr="008A63AE" w:rsidRDefault="004B0733" w:rsidP="004B0733">
      <w:pPr>
        <w:widowControl w:val="0"/>
        <w:tabs>
          <w:tab w:val="left" w:pos="8647"/>
        </w:tabs>
        <w:autoSpaceDE w:val="0"/>
        <w:autoSpaceDN w:val="0"/>
        <w:adjustRightInd w:val="0"/>
        <w:spacing w:line="276" w:lineRule="auto"/>
        <w:rPr>
          <w:rFonts w:ascii="Arial" w:hAnsi="Arial" w:cs="Arial"/>
          <w:b/>
          <w:bCs/>
          <w:i/>
          <w:iCs/>
          <w:sz w:val="18"/>
          <w:szCs w:val="18"/>
        </w:rPr>
      </w:pPr>
      <w:r w:rsidRPr="008A63AE">
        <w:rPr>
          <w:rFonts w:ascii="Arial" w:hAnsi="Arial" w:cs="Arial"/>
          <w:b/>
          <w:bCs/>
          <w:i/>
          <w:iCs/>
          <w:sz w:val="18"/>
          <w:szCs w:val="18"/>
        </w:rPr>
        <w:t>Bild 1: Gezielt für Einsätze unter Wasser entwickelt, ist der RUD ACP-TURNADO OCEANSTAR als erster Anschlagpunkt überhaupt gemäß DNV ST-0377 und ST-0378 für Subsea-Einsätze zertifiziert. Bildquelle: RUD</w:t>
      </w:r>
    </w:p>
    <w:p w14:paraId="00F46851"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3B528DD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noProof/>
          <w:sz w:val="22"/>
        </w:rPr>
        <w:lastRenderedPageBreak/>
        <w:drawing>
          <wp:inline distT="0" distB="0" distL="0" distR="0" wp14:anchorId="47552BF2" wp14:editId="2900AAAC">
            <wp:extent cx="4532644" cy="2833028"/>
            <wp:effectExtent l="0" t="0" r="1270" b="5715"/>
            <wp:docPr id="8588520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34975" name="Grafik 14360349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2533" cy="2864210"/>
                    </a:xfrm>
                    <a:prstGeom prst="rect">
                      <a:avLst/>
                    </a:prstGeom>
                  </pic:spPr>
                </pic:pic>
              </a:graphicData>
            </a:graphic>
          </wp:inline>
        </w:drawing>
      </w:r>
    </w:p>
    <w:p w14:paraId="69177313" w14:textId="77777777" w:rsidR="004B0733" w:rsidRPr="004C709F" w:rsidRDefault="004B0733" w:rsidP="004B0733">
      <w:pPr>
        <w:widowControl w:val="0"/>
        <w:tabs>
          <w:tab w:val="left" w:pos="8647"/>
        </w:tabs>
        <w:autoSpaceDE w:val="0"/>
        <w:autoSpaceDN w:val="0"/>
        <w:adjustRightInd w:val="0"/>
        <w:spacing w:line="276" w:lineRule="auto"/>
        <w:rPr>
          <w:rFonts w:ascii="Arial" w:hAnsi="Arial" w:cs="Arial"/>
          <w:b/>
          <w:bCs/>
          <w:i/>
          <w:iCs/>
          <w:sz w:val="18"/>
          <w:szCs w:val="18"/>
        </w:rPr>
      </w:pPr>
      <w:r w:rsidRPr="004C709F">
        <w:rPr>
          <w:rFonts w:ascii="Arial" w:hAnsi="Arial" w:cs="Arial"/>
          <w:b/>
          <w:bCs/>
          <w:i/>
          <w:iCs/>
          <w:sz w:val="18"/>
          <w:szCs w:val="18"/>
        </w:rPr>
        <w:t xml:space="preserve">Bild 2: Der ACP-TURNADO OCEANSTAR von RUD ist mit einer Federmechanik ausgestattet, die ein senkrechtes Stehenbleiben und verzögertes Umschlagen </w:t>
      </w:r>
      <w:r>
        <w:rPr>
          <w:rFonts w:ascii="Arial" w:hAnsi="Arial" w:cs="Arial"/>
          <w:b/>
          <w:bCs/>
          <w:i/>
          <w:iCs/>
          <w:sz w:val="18"/>
          <w:szCs w:val="18"/>
        </w:rPr>
        <w:t>d</w:t>
      </w:r>
      <w:r w:rsidRPr="004C709F">
        <w:rPr>
          <w:rFonts w:ascii="Arial" w:hAnsi="Arial" w:cs="Arial"/>
          <w:b/>
          <w:bCs/>
          <w:i/>
          <w:iCs/>
          <w:sz w:val="18"/>
          <w:szCs w:val="18"/>
        </w:rPr>
        <w:t xml:space="preserve">es Bügels </w:t>
      </w:r>
      <w:r>
        <w:rPr>
          <w:rFonts w:ascii="Arial" w:hAnsi="Arial" w:cs="Arial"/>
          <w:b/>
          <w:bCs/>
          <w:i/>
          <w:iCs/>
          <w:sz w:val="18"/>
          <w:szCs w:val="18"/>
        </w:rPr>
        <w:t xml:space="preserve">und damit die Entstehung von Shock Loads </w:t>
      </w:r>
      <w:r w:rsidRPr="004C709F">
        <w:rPr>
          <w:rFonts w:ascii="Arial" w:hAnsi="Arial" w:cs="Arial"/>
          <w:b/>
          <w:bCs/>
          <w:i/>
          <w:iCs/>
          <w:sz w:val="18"/>
          <w:szCs w:val="18"/>
        </w:rPr>
        <w:t>verhindert. Stattdessen richtet sich der Bügel</w:t>
      </w:r>
      <w:r>
        <w:rPr>
          <w:rFonts w:ascii="Arial" w:hAnsi="Arial" w:cs="Arial"/>
          <w:b/>
          <w:bCs/>
          <w:i/>
          <w:iCs/>
          <w:sz w:val="18"/>
          <w:szCs w:val="18"/>
        </w:rPr>
        <w:t xml:space="preserve"> stets</w:t>
      </w:r>
      <w:r w:rsidRPr="004C709F">
        <w:rPr>
          <w:rFonts w:ascii="Arial" w:hAnsi="Arial" w:cs="Arial"/>
          <w:b/>
          <w:bCs/>
          <w:i/>
          <w:iCs/>
          <w:sz w:val="18"/>
          <w:szCs w:val="18"/>
        </w:rPr>
        <w:t xml:space="preserve"> in Kraftrichtung aus</w:t>
      </w:r>
      <w:r>
        <w:rPr>
          <w:rFonts w:ascii="Arial" w:hAnsi="Arial" w:cs="Arial"/>
          <w:b/>
          <w:bCs/>
          <w:i/>
          <w:iCs/>
          <w:sz w:val="18"/>
          <w:szCs w:val="18"/>
        </w:rPr>
        <w:t xml:space="preserve">. </w:t>
      </w:r>
      <w:r w:rsidRPr="004C709F">
        <w:rPr>
          <w:rFonts w:ascii="Arial" w:hAnsi="Arial" w:cs="Arial"/>
          <w:b/>
          <w:bCs/>
          <w:i/>
          <w:iCs/>
          <w:sz w:val="18"/>
          <w:szCs w:val="18"/>
        </w:rPr>
        <w:t>Die auffallende goldene Farbgebung des Bügels sorgt für gute Sichtbarkeit unter Wasser, was das Handling erleichtert und die Arbeitssicherheit bei Tauch- und Wartungseinsätzen erhöht.</w:t>
      </w:r>
      <w:r w:rsidRPr="00463EC0">
        <w:rPr>
          <w:rFonts w:ascii="Arial" w:hAnsi="Arial" w:cs="Arial"/>
          <w:b/>
          <w:bCs/>
          <w:i/>
          <w:iCs/>
          <w:sz w:val="18"/>
          <w:szCs w:val="18"/>
        </w:rPr>
        <w:t xml:space="preserve"> </w:t>
      </w:r>
      <w:r>
        <w:rPr>
          <w:rFonts w:ascii="Arial" w:hAnsi="Arial" w:cs="Arial"/>
          <w:b/>
          <w:bCs/>
          <w:i/>
          <w:iCs/>
          <w:sz w:val="18"/>
          <w:szCs w:val="18"/>
        </w:rPr>
        <w:t>Bildquelle: RUD</w:t>
      </w:r>
    </w:p>
    <w:p w14:paraId="69142C18" w14:textId="77777777" w:rsidR="004B0733" w:rsidRPr="004C709F" w:rsidRDefault="004B0733" w:rsidP="004B0733">
      <w:pPr>
        <w:widowControl w:val="0"/>
        <w:tabs>
          <w:tab w:val="left" w:pos="8647"/>
        </w:tabs>
        <w:autoSpaceDE w:val="0"/>
        <w:autoSpaceDN w:val="0"/>
        <w:adjustRightInd w:val="0"/>
        <w:spacing w:line="276" w:lineRule="auto"/>
        <w:rPr>
          <w:rFonts w:ascii="Arial" w:hAnsi="Arial" w:cs="Arial"/>
          <w:b/>
          <w:bCs/>
          <w:i/>
          <w:iCs/>
          <w:sz w:val="22"/>
          <w:szCs w:val="22"/>
        </w:rPr>
      </w:pPr>
    </w:p>
    <w:p w14:paraId="45EC736E"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noProof/>
          <w:sz w:val="22"/>
        </w:rPr>
        <w:drawing>
          <wp:inline distT="0" distB="0" distL="0" distR="0" wp14:anchorId="3C211E7A" wp14:editId="54FE7C0C">
            <wp:extent cx="4524375" cy="4030535"/>
            <wp:effectExtent l="0" t="0" r="0" b="8255"/>
            <wp:docPr id="5796090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09052" name="Grafik 5796090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3542" cy="4047610"/>
                    </a:xfrm>
                    <a:prstGeom prst="rect">
                      <a:avLst/>
                    </a:prstGeom>
                  </pic:spPr>
                </pic:pic>
              </a:graphicData>
            </a:graphic>
          </wp:inline>
        </w:drawing>
      </w:r>
    </w:p>
    <w:p w14:paraId="11A8D10C" w14:textId="276F9699" w:rsidR="004B0733" w:rsidRPr="004C709F" w:rsidRDefault="004B0733" w:rsidP="004B0733">
      <w:pPr>
        <w:widowControl w:val="0"/>
        <w:tabs>
          <w:tab w:val="left" w:pos="8647"/>
        </w:tabs>
        <w:autoSpaceDE w:val="0"/>
        <w:autoSpaceDN w:val="0"/>
        <w:adjustRightInd w:val="0"/>
        <w:spacing w:line="276" w:lineRule="auto"/>
        <w:rPr>
          <w:rFonts w:ascii="Arial" w:hAnsi="Arial" w:cs="Arial"/>
          <w:b/>
          <w:bCs/>
          <w:i/>
          <w:iCs/>
          <w:sz w:val="18"/>
          <w:szCs w:val="18"/>
        </w:rPr>
      </w:pPr>
      <w:r w:rsidRPr="00C13D85">
        <w:rPr>
          <w:rFonts w:ascii="Arial" w:hAnsi="Arial" w:cs="Arial"/>
          <w:b/>
          <w:bCs/>
          <w:i/>
          <w:iCs/>
          <w:sz w:val="18"/>
          <w:szCs w:val="18"/>
        </w:rPr>
        <w:t>Bild 3: Die erhöhte Tragfähigkeit des ACP-TURNADO OCEANSTAR bietet unter anderem bei dynamischen Lastspitzen in der Splash Zone ein entscheidendes Plus an Sicherheit. Bildquelle: RUD</w:t>
      </w:r>
    </w:p>
    <w:p w14:paraId="08183C63" w14:textId="77777777" w:rsidR="001E4EFB" w:rsidRDefault="001E4EFB" w:rsidP="004B0733">
      <w:pPr>
        <w:widowControl w:val="0"/>
        <w:tabs>
          <w:tab w:val="left" w:pos="8647"/>
        </w:tabs>
        <w:autoSpaceDE w:val="0"/>
        <w:autoSpaceDN w:val="0"/>
        <w:adjustRightInd w:val="0"/>
        <w:spacing w:line="276" w:lineRule="auto"/>
        <w:rPr>
          <w:rFonts w:ascii="Arial" w:hAnsi="Arial" w:cs="Arial"/>
          <w:b/>
          <w:sz w:val="22"/>
          <w:szCs w:val="22"/>
        </w:rPr>
      </w:pPr>
    </w:p>
    <w:p w14:paraId="3E4DCE40" w14:textId="7EF13F59" w:rsidR="004B0733" w:rsidRPr="00081870" w:rsidRDefault="004B0733" w:rsidP="004B0733">
      <w:pPr>
        <w:widowControl w:val="0"/>
        <w:tabs>
          <w:tab w:val="left" w:pos="8647"/>
        </w:tabs>
        <w:autoSpaceDE w:val="0"/>
        <w:autoSpaceDN w:val="0"/>
        <w:adjustRightInd w:val="0"/>
        <w:spacing w:line="276" w:lineRule="auto"/>
        <w:rPr>
          <w:rFonts w:ascii="Arial" w:hAnsi="Arial" w:cs="Arial"/>
          <w:b/>
          <w:sz w:val="20"/>
          <w:szCs w:val="20"/>
        </w:rPr>
      </w:pPr>
      <w:r w:rsidRPr="00081870">
        <w:rPr>
          <w:rFonts w:ascii="Arial" w:hAnsi="Arial" w:cs="Arial"/>
          <w:b/>
          <w:sz w:val="20"/>
          <w:szCs w:val="20"/>
        </w:rPr>
        <w:lastRenderedPageBreak/>
        <w:t>Das Unternehmen</w:t>
      </w:r>
    </w:p>
    <w:p w14:paraId="49EE4823"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p>
    <w:p w14:paraId="55524D37"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r w:rsidRPr="00081870">
        <w:rPr>
          <w:rFonts w:ascii="Arial" w:hAnsi="Arial" w:cs="Arial"/>
          <w:bCs/>
          <w:sz w:val="20"/>
          <w:szCs w:val="20"/>
        </w:rPr>
        <w:t>Die RUD Ketten Rieger &amp; Dietz GmbH u. Co. KG, 1875 von Carl Rieger und Friedrich Dietz im schwäbischen Aalen gegründet, erzielt mit über 1700 Mitarbeitern in über 120 Ländern einen jährlichen Umsatz von über 250 Millionen Euro. An Standorten u.a. in Deutschland, Australien, Brasilien, China, Indien, Rumänien und den USA produziert das Familienunternehmen neben Anschlag- und Zurrtechnologie und Gleitschutzketten auch Hebezeugketten- und Fördersysteme. Mit der Marke Erlau stellen die Aalener außerdem Reifenschutzketten und Objekteinrichtungen für den Innen- und Außenbereich her.</w:t>
      </w:r>
    </w:p>
    <w:p w14:paraId="51692367"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p>
    <w:p w14:paraId="497FF9E3"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p>
    <w:p w14:paraId="4DA260A4" w14:textId="77777777" w:rsidR="004B0733" w:rsidRPr="00081870" w:rsidRDefault="004B0733" w:rsidP="004B0733">
      <w:pPr>
        <w:spacing w:line="276" w:lineRule="auto"/>
        <w:rPr>
          <w:rFonts w:ascii="Arial" w:hAnsi="Arial" w:cs="Arial"/>
          <w:b/>
          <w:bCs/>
          <w:sz w:val="20"/>
          <w:szCs w:val="20"/>
        </w:rPr>
      </w:pPr>
      <w:r w:rsidRPr="00081870">
        <w:rPr>
          <w:rFonts w:ascii="Arial" w:hAnsi="Arial" w:cs="Arial"/>
          <w:b/>
          <w:bCs/>
          <w:sz w:val="20"/>
          <w:szCs w:val="20"/>
        </w:rPr>
        <w:t>Ihr Kontakt:</w:t>
      </w:r>
    </w:p>
    <w:p w14:paraId="696251FC"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RUD Ketten Rieger &amp; Dietz GmbH u. Co. KG</w:t>
      </w:r>
    </w:p>
    <w:p w14:paraId="7BF02BA7"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 xml:space="preserve">Lea Gentner – Marketing Manager </w:t>
      </w:r>
    </w:p>
    <w:p w14:paraId="47C79037"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Friedensinsel</w:t>
      </w:r>
    </w:p>
    <w:p w14:paraId="4DF47335"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73432 Aalen, Germany</w:t>
      </w:r>
    </w:p>
    <w:p w14:paraId="35F4A14E"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Telefon: +49 7361 504-1463</w:t>
      </w:r>
    </w:p>
    <w:p w14:paraId="04DCFA24" w14:textId="77777777" w:rsidR="004B0733" w:rsidRPr="00081870" w:rsidRDefault="004B0733" w:rsidP="004B0733">
      <w:pPr>
        <w:spacing w:line="276" w:lineRule="auto"/>
        <w:rPr>
          <w:rStyle w:val="Hyperlink"/>
          <w:rFonts w:ascii="Arial" w:eastAsiaTheme="majorEastAsia" w:hAnsi="Arial" w:cs="Arial"/>
          <w:bCs/>
          <w:sz w:val="20"/>
          <w:szCs w:val="20"/>
        </w:rPr>
      </w:pPr>
      <w:hyperlink r:id="rId9" w:history="1">
        <w:r w:rsidRPr="00081870">
          <w:rPr>
            <w:rStyle w:val="Hyperlink"/>
            <w:rFonts w:ascii="Arial" w:eastAsiaTheme="majorEastAsia" w:hAnsi="Arial" w:cs="Arial"/>
            <w:bCs/>
            <w:sz w:val="20"/>
            <w:szCs w:val="20"/>
          </w:rPr>
          <w:t>lea.gentner@rud.com</w:t>
        </w:r>
      </w:hyperlink>
    </w:p>
    <w:p w14:paraId="2C74F186" w14:textId="77777777" w:rsidR="004B0733" w:rsidRPr="00081870" w:rsidRDefault="004B0733" w:rsidP="004B0733">
      <w:pPr>
        <w:spacing w:line="276" w:lineRule="auto"/>
        <w:rPr>
          <w:rFonts w:ascii="Arial" w:hAnsi="Arial" w:cs="Arial"/>
          <w:bCs/>
          <w:sz w:val="20"/>
          <w:szCs w:val="20"/>
        </w:rPr>
      </w:pPr>
      <w:hyperlink r:id="rId10" w:history="1">
        <w:r w:rsidRPr="00081870">
          <w:rPr>
            <w:rStyle w:val="Hyperlink"/>
            <w:rFonts w:ascii="Arial" w:eastAsiaTheme="majorEastAsia" w:hAnsi="Arial" w:cs="Arial"/>
            <w:bCs/>
            <w:sz w:val="20"/>
            <w:szCs w:val="20"/>
          </w:rPr>
          <w:t>www.rud.com</w:t>
        </w:r>
      </w:hyperlink>
    </w:p>
    <w:p w14:paraId="1D626F3C" w14:textId="77777777" w:rsidR="004B0733" w:rsidRPr="00081870" w:rsidRDefault="004B0733" w:rsidP="004B0733">
      <w:pPr>
        <w:spacing w:line="276" w:lineRule="auto"/>
        <w:rPr>
          <w:sz w:val="20"/>
          <w:szCs w:val="20"/>
        </w:rPr>
      </w:pPr>
      <w:hyperlink r:id="rId11" w:history="1">
        <w:r w:rsidRPr="00081870">
          <w:rPr>
            <w:rStyle w:val="Hyperlink"/>
            <w:rFonts w:ascii="Arial" w:eastAsiaTheme="majorEastAsia" w:hAnsi="Arial" w:cs="Arial"/>
            <w:bCs/>
            <w:sz w:val="20"/>
            <w:szCs w:val="20"/>
          </w:rPr>
          <w:t>www.slinglashing.rud.com</w:t>
        </w:r>
      </w:hyperlink>
    </w:p>
    <w:p w14:paraId="07BB1AD6" w14:textId="77777777" w:rsidR="00A92751" w:rsidRPr="00081870" w:rsidRDefault="00A92751" w:rsidP="00FA6266">
      <w:pPr>
        <w:spacing w:line="276" w:lineRule="auto"/>
        <w:rPr>
          <w:rFonts w:ascii="Arial" w:hAnsi="Arial" w:cs="Arial"/>
          <w:sz w:val="20"/>
          <w:szCs w:val="20"/>
        </w:rPr>
      </w:pPr>
    </w:p>
    <w:sectPr w:rsidR="00A92751" w:rsidRPr="00081870">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0B216" w14:textId="77777777" w:rsidR="00FA6266" w:rsidRDefault="00FA6266" w:rsidP="00FA6266">
      <w:r>
        <w:separator/>
      </w:r>
    </w:p>
  </w:endnote>
  <w:endnote w:type="continuationSeparator" w:id="0">
    <w:p w14:paraId="006AD809" w14:textId="77777777" w:rsidR="00FA6266" w:rsidRDefault="00FA6266" w:rsidP="00FA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A1A9" w14:textId="77777777" w:rsidR="00FA6266" w:rsidRDefault="00FA6266" w:rsidP="00FA6266">
      <w:r>
        <w:separator/>
      </w:r>
    </w:p>
  </w:footnote>
  <w:footnote w:type="continuationSeparator" w:id="0">
    <w:p w14:paraId="67F083AC" w14:textId="77777777" w:rsidR="00FA6266" w:rsidRDefault="00FA6266" w:rsidP="00FA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0338" w14:textId="77777777" w:rsidR="00FA6266" w:rsidRDefault="00FA6266" w:rsidP="00FA6266">
    <w:pPr>
      <w:pStyle w:val="Kopfzeile"/>
    </w:pPr>
    <w:r w:rsidRPr="00397D52">
      <w:rPr>
        <w:rFonts w:cs="Arial"/>
        <w:noProof/>
      </w:rPr>
      <mc:AlternateContent>
        <mc:Choice Requires="wps">
          <w:drawing>
            <wp:anchor distT="0" distB="0" distL="114300" distR="114300" simplePos="0" relativeHeight="251660288" behindDoc="0" locked="0" layoutInCell="1" allowOverlap="1" wp14:anchorId="0DCE672B" wp14:editId="42589EB5">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4E954" w14:textId="77777777" w:rsidR="00FA6266" w:rsidRPr="005262B0" w:rsidRDefault="00FA6266" w:rsidP="00FA6266">
                          <w:pPr>
                            <w:pStyle w:val="Kopfzeile"/>
                            <w:rPr>
                              <w:rFonts w:ascii="Nunito Sans" w:hAnsi="Nunito Sans"/>
                              <w:color w:val="2C69B2"/>
                            </w:rPr>
                          </w:pPr>
                          <w:r w:rsidRPr="005262B0">
                            <w:rPr>
                              <w:rFonts w:ascii="Nunito Sans" w:hAnsi="Nunito Sans"/>
                              <w:b/>
                              <w:color w:val="2C69B2"/>
                              <w:sz w:val="44"/>
                            </w:rPr>
                            <w:t>Medieninformation</w:t>
                          </w:r>
                        </w:p>
                        <w:p w14:paraId="3997F104" w14:textId="77777777" w:rsidR="00FA6266" w:rsidRDefault="00FA6266" w:rsidP="00FA6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672B" id="_x0000_t202" coordsize="21600,21600" o:spt="202" path="m,l,21600r21600,l21600,xe">
              <v:stroke joinstyle="miter"/>
              <v:path gradientshapeok="t" o:connecttype="rect"/>
            </v:shapetype>
            <v:shape id="Text Box 15" o:spid="_x0000_s1026" type="#_x0000_t202" style="position:absolute;margin-left:-7.95pt;margin-top:33pt;width:27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08A4E954" w14:textId="77777777" w:rsidR="00FA6266" w:rsidRPr="005262B0" w:rsidRDefault="00FA6266" w:rsidP="00FA6266">
                    <w:pPr>
                      <w:pStyle w:val="Kopfzeile"/>
                      <w:rPr>
                        <w:rFonts w:ascii="Nunito Sans" w:hAnsi="Nunito Sans"/>
                        <w:color w:val="2C69B2"/>
                      </w:rPr>
                    </w:pPr>
                    <w:r w:rsidRPr="005262B0">
                      <w:rPr>
                        <w:rFonts w:ascii="Nunito Sans" w:hAnsi="Nunito Sans"/>
                        <w:b/>
                        <w:color w:val="2C69B2"/>
                        <w:sz w:val="44"/>
                      </w:rPr>
                      <w:t>Medieninformation</w:t>
                    </w:r>
                  </w:p>
                  <w:p w14:paraId="3997F104" w14:textId="77777777" w:rsidR="00FA6266" w:rsidRDefault="00FA6266" w:rsidP="00FA6266"/>
                </w:txbxContent>
              </v:textbox>
            </v:shape>
          </w:pict>
        </mc:Fallback>
      </mc:AlternateContent>
    </w:r>
    <w:r w:rsidRPr="00397D52">
      <w:rPr>
        <w:rFonts w:cs="Arial"/>
        <w:noProof/>
      </w:rPr>
      <mc:AlternateContent>
        <mc:Choice Requires="wps">
          <w:drawing>
            <wp:anchor distT="0" distB="0" distL="114300" distR="114300" simplePos="0" relativeHeight="251659264" behindDoc="0" locked="0" layoutInCell="1" allowOverlap="1" wp14:anchorId="5CCD6789" wp14:editId="4F09CE2E">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D6789"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p w14:paraId="5362BAA6" w14:textId="77777777" w:rsidR="00FA6266" w:rsidRDefault="00FA6266">
    <w:pPr>
      <w:pStyle w:val="Kopfzeile"/>
    </w:pPr>
  </w:p>
  <w:p w14:paraId="08591837" w14:textId="77777777" w:rsidR="00FA6266" w:rsidRDefault="00FA6266">
    <w:pPr>
      <w:pStyle w:val="Kopfzeile"/>
    </w:pPr>
  </w:p>
  <w:p w14:paraId="42A5983E" w14:textId="77777777" w:rsidR="00FA6266" w:rsidRDefault="00FA6266">
    <w:pPr>
      <w:pStyle w:val="Kopfzeile"/>
    </w:pPr>
  </w:p>
  <w:p w14:paraId="392A486A" w14:textId="77777777" w:rsidR="00FA6266" w:rsidRDefault="00FA6266">
    <w:pPr>
      <w:pStyle w:val="Kopfzeile"/>
    </w:pPr>
  </w:p>
  <w:p w14:paraId="4BEC2B00" w14:textId="77777777" w:rsidR="00FA6266" w:rsidRDefault="00FA6266">
    <w:pPr>
      <w:pStyle w:val="Kopfzeile"/>
    </w:pPr>
  </w:p>
  <w:p w14:paraId="32C5FE4A" w14:textId="77777777" w:rsidR="00FA6266" w:rsidRDefault="00FA626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1C"/>
    <w:rsid w:val="00003A1C"/>
    <w:rsid w:val="00081870"/>
    <w:rsid w:val="001E4EFB"/>
    <w:rsid w:val="002C1D7B"/>
    <w:rsid w:val="00354594"/>
    <w:rsid w:val="004B0733"/>
    <w:rsid w:val="00A92751"/>
    <w:rsid w:val="00C652AC"/>
    <w:rsid w:val="00EB11DA"/>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9BC7"/>
  <w15:chartTrackingRefBased/>
  <w15:docId w15:val="{430D56D2-2BEA-45B3-9092-443BB1B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0733"/>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003A1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03A1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03A1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03A1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003A1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003A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003A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003A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003A1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A1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03A1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03A1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03A1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03A1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03A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A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A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A1C"/>
    <w:rPr>
      <w:rFonts w:eastAsiaTheme="majorEastAsia" w:cstheme="majorBidi"/>
      <w:color w:val="272727" w:themeColor="text1" w:themeTint="D8"/>
    </w:rPr>
  </w:style>
  <w:style w:type="paragraph" w:styleId="Titel">
    <w:name w:val="Title"/>
    <w:basedOn w:val="Standard"/>
    <w:next w:val="Standard"/>
    <w:link w:val="TitelZchn"/>
    <w:uiPriority w:val="10"/>
    <w:qFormat/>
    <w:rsid w:val="00003A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03A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A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03A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A1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003A1C"/>
    <w:rPr>
      <w:i/>
      <w:iCs/>
      <w:color w:val="404040" w:themeColor="text1" w:themeTint="BF"/>
    </w:rPr>
  </w:style>
  <w:style w:type="paragraph" w:styleId="Listenabsatz">
    <w:name w:val="List Paragraph"/>
    <w:basedOn w:val="Standard"/>
    <w:uiPriority w:val="34"/>
    <w:qFormat/>
    <w:rsid w:val="00003A1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003A1C"/>
    <w:rPr>
      <w:i/>
      <w:iCs/>
      <w:color w:val="2F5496" w:themeColor="accent1" w:themeShade="BF"/>
    </w:rPr>
  </w:style>
  <w:style w:type="paragraph" w:styleId="IntensivesZitat">
    <w:name w:val="Intense Quote"/>
    <w:basedOn w:val="Standard"/>
    <w:next w:val="Standard"/>
    <w:link w:val="IntensivesZitatZchn"/>
    <w:uiPriority w:val="30"/>
    <w:qFormat/>
    <w:rsid w:val="00003A1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03A1C"/>
    <w:rPr>
      <w:i/>
      <w:iCs/>
      <w:color w:val="2F5496" w:themeColor="accent1" w:themeShade="BF"/>
    </w:rPr>
  </w:style>
  <w:style w:type="character" w:styleId="IntensiverVerweis">
    <w:name w:val="Intense Reference"/>
    <w:basedOn w:val="Absatz-Standardschriftart"/>
    <w:uiPriority w:val="32"/>
    <w:qFormat/>
    <w:rsid w:val="00003A1C"/>
    <w:rPr>
      <w:b/>
      <w:bCs/>
      <w:smallCaps/>
      <w:color w:val="2F5496" w:themeColor="accent1" w:themeShade="BF"/>
      <w:spacing w:val="5"/>
    </w:rPr>
  </w:style>
  <w:style w:type="paragraph" w:styleId="Kopfzeile">
    <w:name w:val="header"/>
    <w:basedOn w:val="Standard"/>
    <w:link w:val="Kopf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fzeileZchn">
    <w:name w:val="Kopfzeile Zchn"/>
    <w:basedOn w:val="Absatz-Standardschriftart"/>
    <w:link w:val="Kopfzeile"/>
    <w:uiPriority w:val="99"/>
    <w:rsid w:val="00FA6266"/>
  </w:style>
  <w:style w:type="paragraph" w:styleId="Fuzeile">
    <w:name w:val="footer"/>
    <w:basedOn w:val="Standard"/>
    <w:link w:val="Fu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FuzeileZchn">
    <w:name w:val="Fußzeile Zchn"/>
    <w:basedOn w:val="Absatz-Standardschriftart"/>
    <w:link w:val="Fuzeile"/>
    <w:uiPriority w:val="99"/>
    <w:rsid w:val="00FA6266"/>
  </w:style>
  <w:style w:type="character" w:styleId="Hyperlink">
    <w:name w:val="Hyperlink"/>
    <w:basedOn w:val="Absatz-Standardschriftart"/>
    <w:uiPriority w:val="99"/>
    <w:unhideWhenUsed/>
    <w:rsid w:val="004B0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slinglashing.rud.com" TargetMode="External"/><Relationship Id="rId5" Type="http://schemas.openxmlformats.org/officeDocument/2006/relationships/endnotes" Target="endnotes.xml"/><Relationship Id="rId10" Type="http://schemas.openxmlformats.org/officeDocument/2006/relationships/hyperlink" Target="http://www.rud.com" TargetMode="External"/><Relationship Id="rId4" Type="http://schemas.openxmlformats.org/officeDocument/2006/relationships/footnotes" Target="footnotes.xml"/><Relationship Id="rId9" Type="http://schemas.openxmlformats.org/officeDocument/2006/relationships/hyperlink" Target="mailto:lea.gentner@ru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741</Words>
  <Characters>4673</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Michael Beyrau</cp:lastModifiedBy>
  <cp:revision>5</cp:revision>
  <dcterms:created xsi:type="dcterms:W3CDTF">2026-08-28T09:59:00Z</dcterms:created>
  <dcterms:modified xsi:type="dcterms:W3CDTF">2026-08-28T10:03:00Z</dcterms:modified>
</cp:coreProperties>
</file>