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2DDAE" w14:textId="77777777" w:rsidR="00981005" w:rsidRPr="00A13DF2" w:rsidRDefault="00981005" w:rsidP="00EB2B65">
      <w:pPr>
        <w:tabs>
          <w:tab w:val="left" w:pos="2700"/>
        </w:tabs>
        <w:spacing w:line="276" w:lineRule="auto"/>
        <w:rPr>
          <w:rFonts w:ascii="Arial" w:hAnsi="Arial" w:cs="Arial"/>
          <w:color w:val="000000" w:themeColor="text1"/>
          <w:sz w:val="22"/>
          <w:u w:val="single"/>
        </w:rPr>
      </w:pPr>
      <w:r w:rsidRPr="00A13DF2">
        <w:rPr>
          <w:rFonts w:ascii="Arial" w:hAnsi="Arial" w:cs="Arial"/>
          <w:color w:val="000000" w:themeColor="text1"/>
          <w:sz w:val="22"/>
          <w:u w:val="single"/>
        </w:rPr>
        <w:t>Alle Prozessschritte vollständig abgedeckt</w:t>
      </w:r>
    </w:p>
    <w:p w14:paraId="611F5272" w14:textId="77777777" w:rsidR="00981005" w:rsidRPr="00A13DF2" w:rsidRDefault="00981005" w:rsidP="00EB2B65">
      <w:pPr>
        <w:tabs>
          <w:tab w:val="left" w:pos="2700"/>
        </w:tabs>
        <w:spacing w:line="276" w:lineRule="auto"/>
        <w:rPr>
          <w:rFonts w:ascii="Arial" w:hAnsi="Arial" w:cs="Arial"/>
          <w:color w:val="000000" w:themeColor="text1"/>
          <w:sz w:val="22"/>
          <w:u w:val="single"/>
        </w:rPr>
      </w:pPr>
    </w:p>
    <w:p w14:paraId="09AAD189" w14:textId="77777777" w:rsidR="00981005" w:rsidRPr="00A13DF2" w:rsidRDefault="00981005" w:rsidP="00EB2B65">
      <w:pPr>
        <w:tabs>
          <w:tab w:val="left" w:pos="6521"/>
        </w:tabs>
        <w:spacing w:line="276" w:lineRule="auto"/>
        <w:rPr>
          <w:rFonts w:ascii="Arial" w:hAnsi="Arial" w:cs="Arial"/>
          <w:b/>
          <w:color w:val="000000" w:themeColor="text1"/>
          <w:sz w:val="28"/>
        </w:rPr>
      </w:pPr>
      <w:r w:rsidRPr="00A13DF2">
        <w:rPr>
          <w:rFonts w:ascii="Arial" w:hAnsi="Arial" w:cs="Arial"/>
          <w:b/>
          <w:color w:val="000000" w:themeColor="text1"/>
          <w:sz w:val="28"/>
        </w:rPr>
        <w:t xml:space="preserve">Gesamtlösungsanbieter für das Handling von Spritzgussformen: RUD und RUD+SpanSet Ramstein auf der </w:t>
      </w:r>
      <w:proofErr w:type="spellStart"/>
      <w:r w:rsidRPr="00A13DF2">
        <w:rPr>
          <w:rFonts w:ascii="Arial" w:hAnsi="Arial" w:cs="Arial"/>
          <w:b/>
          <w:color w:val="000000" w:themeColor="text1"/>
          <w:sz w:val="28"/>
        </w:rPr>
        <w:t>Fakuma</w:t>
      </w:r>
      <w:proofErr w:type="spellEnd"/>
      <w:r w:rsidRPr="00A13DF2">
        <w:rPr>
          <w:rFonts w:ascii="Arial" w:hAnsi="Arial" w:cs="Arial"/>
          <w:b/>
          <w:color w:val="000000" w:themeColor="text1"/>
          <w:sz w:val="28"/>
        </w:rPr>
        <w:t xml:space="preserve"> 2026</w:t>
      </w:r>
    </w:p>
    <w:p w14:paraId="79351A61" w14:textId="77777777" w:rsidR="00981005" w:rsidRPr="00A13DF2" w:rsidRDefault="00981005" w:rsidP="00EB2B65">
      <w:pPr>
        <w:tabs>
          <w:tab w:val="left" w:pos="6521"/>
        </w:tabs>
        <w:spacing w:line="276" w:lineRule="auto"/>
        <w:rPr>
          <w:rFonts w:ascii="Arial" w:hAnsi="Arial" w:cs="Arial"/>
          <w:color w:val="000000" w:themeColor="text1"/>
          <w:sz w:val="22"/>
        </w:rPr>
      </w:pPr>
    </w:p>
    <w:p w14:paraId="0542027D" w14:textId="77777777" w:rsidR="00981005" w:rsidRPr="00A13DF2" w:rsidRDefault="00981005" w:rsidP="00EB2B65">
      <w:pPr>
        <w:tabs>
          <w:tab w:val="left" w:pos="6521"/>
        </w:tabs>
        <w:spacing w:line="276" w:lineRule="auto"/>
        <w:rPr>
          <w:rFonts w:ascii="Arial" w:hAnsi="Arial" w:cs="Arial"/>
          <w:i/>
          <w:iCs/>
          <w:color w:val="000000" w:themeColor="text1"/>
          <w:sz w:val="22"/>
        </w:rPr>
      </w:pPr>
      <w:r w:rsidRPr="00A13DF2">
        <w:rPr>
          <w:rFonts w:ascii="Arial" w:hAnsi="Arial" w:cs="Arial"/>
          <w:i/>
          <w:iCs/>
          <w:color w:val="000000" w:themeColor="text1"/>
          <w:sz w:val="22"/>
        </w:rPr>
        <w:t xml:space="preserve">RUD und das Joint Venture RUD+SpanSet Ramstein präsentieren sich auf der </w:t>
      </w:r>
      <w:proofErr w:type="spellStart"/>
      <w:r w:rsidRPr="00A13DF2">
        <w:rPr>
          <w:rFonts w:ascii="Arial" w:hAnsi="Arial" w:cs="Arial"/>
          <w:i/>
          <w:iCs/>
          <w:color w:val="000000" w:themeColor="text1"/>
          <w:sz w:val="22"/>
        </w:rPr>
        <w:t>Fakuma</w:t>
      </w:r>
      <w:proofErr w:type="spellEnd"/>
      <w:r w:rsidRPr="00A13DF2">
        <w:rPr>
          <w:rFonts w:ascii="Arial" w:hAnsi="Arial" w:cs="Arial"/>
          <w:i/>
          <w:iCs/>
          <w:color w:val="000000" w:themeColor="text1"/>
          <w:sz w:val="22"/>
        </w:rPr>
        <w:t xml:space="preserve"> 2026 (12. bis 16. Oktober in Friedrichshafen) als Gesamtlösungsanbieter für das Handling von Spritzgussformen. Das vorgestellte Portfolio deckt alle Prozessschritte wie Heben und Positionieren, Drehen und Wenden sowie Öffnen und Schließen ab und steht für ein sicheres, effizientes und ergonomisches Handling. Besucher finden RUD und RUD+SpanSet Ramstein an Stand B5-5109.</w:t>
      </w:r>
    </w:p>
    <w:p w14:paraId="506623A4" w14:textId="77777777" w:rsidR="00981005" w:rsidRPr="00A13DF2" w:rsidRDefault="00981005" w:rsidP="00EB2B65">
      <w:pPr>
        <w:tabs>
          <w:tab w:val="left" w:pos="6521"/>
        </w:tabs>
        <w:spacing w:line="276" w:lineRule="auto"/>
        <w:rPr>
          <w:rFonts w:ascii="Arial" w:hAnsi="Arial" w:cs="Arial"/>
          <w:color w:val="000000" w:themeColor="text1"/>
          <w:sz w:val="22"/>
        </w:rPr>
      </w:pPr>
    </w:p>
    <w:p w14:paraId="79722730" w14:textId="1131D6C8"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bookmarkStart w:id="0" w:name="_Hlk232500953"/>
      <w:r w:rsidRPr="00A13DF2">
        <w:rPr>
          <w:rFonts w:ascii="Arial" w:hAnsi="Arial" w:cs="Arial"/>
          <w:b/>
          <w:bCs/>
          <w:color w:val="000000" w:themeColor="text1"/>
          <w:sz w:val="22"/>
        </w:rPr>
        <w:t xml:space="preserve">Aalen, </w:t>
      </w:r>
      <w:r>
        <w:rPr>
          <w:rFonts w:ascii="Arial" w:hAnsi="Arial" w:cs="Arial"/>
          <w:b/>
          <w:bCs/>
          <w:color w:val="000000" w:themeColor="text1"/>
          <w:sz w:val="22"/>
        </w:rPr>
        <w:t>0</w:t>
      </w:r>
      <w:r w:rsidR="00AC7E32">
        <w:rPr>
          <w:rFonts w:ascii="Arial" w:hAnsi="Arial" w:cs="Arial"/>
          <w:b/>
          <w:bCs/>
          <w:color w:val="000000" w:themeColor="text1"/>
          <w:sz w:val="22"/>
        </w:rPr>
        <w:t>7</w:t>
      </w:r>
      <w:r>
        <w:rPr>
          <w:rFonts w:ascii="Arial" w:hAnsi="Arial" w:cs="Arial"/>
          <w:b/>
          <w:bCs/>
          <w:color w:val="000000" w:themeColor="text1"/>
          <w:sz w:val="22"/>
        </w:rPr>
        <w:t xml:space="preserve">. </w:t>
      </w:r>
      <w:r w:rsidRPr="00A13DF2">
        <w:rPr>
          <w:rFonts w:ascii="Arial" w:hAnsi="Arial" w:cs="Arial"/>
          <w:b/>
          <w:bCs/>
          <w:color w:val="000000" w:themeColor="text1"/>
          <w:sz w:val="22"/>
        </w:rPr>
        <w:t>September 2026 –</w:t>
      </w:r>
      <w:bookmarkEnd w:id="0"/>
      <w:r w:rsidRPr="00A13DF2">
        <w:rPr>
          <w:rFonts w:ascii="Arial" w:hAnsi="Arial" w:cs="Arial"/>
          <w:b/>
          <w:bCs/>
          <w:color w:val="000000" w:themeColor="text1"/>
          <w:sz w:val="22"/>
        </w:rPr>
        <w:t xml:space="preserve"> </w:t>
      </w:r>
      <w:r w:rsidRPr="00A13DF2">
        <w:rPr>
          <w:rFonts w:ascii="Arial" w:hAnsi="Arial" w:cs="Arial"/>
          <w:color w:val="000000" w:themeColor="text1"/>
          <w:sz w:val="22"/>
        </w:rPr>
        <w:t>Ob im anfänglichen Werkzeugbau oder im Produktionseinsatz, ob bei Instandhaltung, Logistik oder Ausmusterung: Schwere Spritzgussformen müssen oft in enger Taktung gehoben und positioniert, gedreht und gewendet, geöffnet oder geschlossen werden. Das erfordert leistungsstarke und zuverlässige Handling-Technologien, die kurze Rüstzeiten mit hoher Arbeitssicherheit und ergonomischer Prozessführung verbinden.</w:t>
      </w:r>
    </w:p>
    <w:p w14:paraId="2B5649C2"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p>
    <w:p w14:paraId="285871EB"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b/>
          <w:bCs/>
          <w:color w:val="000000" w:themeColor="text1"/>
          <w:sz w:val="22"/>
        </w:rPr>
      </w:pPr>
      <w:r w:rsidRPr="00A13DF2">
        <w:rPr>
          <w:rFonts w:ascii="Arial" w:hAnsi="Arial" w:cs="Arial"/>
          <w:b/>
          <w:bCs/>
          <w:color w:val="000000" w:themeColor="text1"/>
          <w:sz w:val="22"/>
        </w:rPr>
        <w:t xml:space="preserve">Effizienter, sicherer und ergonomischer </w:t>
      </w:r>
      <w:proofErr w:type="spellStart"/>
      <w:r w:rsidRPr="00A13DF2">
        <w:rPr>
          <w:rFonts w:ascii="Arial" w:hAnsi="Arial" w:cs="Arial"/>
          <w:b/>
          <w:bCs/>
          <w:color w:val="000000" w:themeColor="text1"/>
          <w:sz w:val="22"/>
        </w:rPr>
        <w:t>Handlingprozess</w:t>
      </w:r>
      <w:proofErr w:type="spellEnd"/>
    </w:p>
    <w:p w14:paraId="64170110"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p>
    <w:p w14:paraId="6190A198" w14:textId="45BE685F"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szCs w:val="22"/>
        </w:rPr>
      </w:pPr>
      <w:r w:rsidRPr="00A13DF2">
        <w:rPr>
          <w:rFonts w:ascii="Arial" w:hAnsi="Arial" w:cs="Arial"/>
          <w:color w:val="000000" w:themeColor="text1"/>
          <w:sz w:val="22"/>
          <w:szCs w:val="22"/>
        </w:rPr>
        <w:t xml:space="preserve">Wie solche Technologien aussehen, zeigen die </w:t>
      </w:r>
      <w:proofErr w:type="gramStart"/>
      <w:r w:rsidRPr="00A13DF2">
        <w:rPr>
          <w:rFonts w:ascii="Arial" w:hAnsi="Arial" w:cs="Arial"/>
          <w:color w:val="000000" w:themeColor="text1"/>
          <w:sz w:val="22"/>
          <w:szCs w:val="22"/>
        </w:rPr>
        <w:t>RUD Gruppe</w:t>
      </w:r>
      <w:proofErr w:type="gramEnd"/>
      <w:r w:rsidRPr="00A13DF2">
        <w:rPr>
          <w:rFonts w:ascii="Arial" w:hAnsi="Arial" w:cs="Arial"/>
          <w:color w:val="000000" w:themeColor="text1"/>
          <w:sz w:val="22"/>
          <w:szCs w:val="22"/>
        </w:rPr>
        <w:t xml:space="preserve"> und das Joint Venture RUD+SpanSet Ramstein – </w:t>
      </w:r>
      <w:r w:rsidRPr="00A13DF2">
        <w:rPr>
          <w:rFonts w:ascii="Arial" w:hAnsi="Arial" w:cs="Arial"/>
          <w:color w:val="000000" w:themeColor="text1"/>
          <w:sz w:val="22"/>
        </w:rPr>
        <w:t xml:space="preserve">das für die Gruppe als Kompetenzzentrum Werkzeug- und Formenbau fungiert – </w:t>
      </w:r>
      <w:r w:rsidRPr="00A13DF2">
        <w:rPr>
          <w:rFonts w:ascii="Arial" w:hAnsi="Arial" w:cs="Arial"/>
          <w:color w:val="000000" w:themeColor="text1"/>
          <w:sz w:val="22"/>
          <w:szCs w:val="22"/>
        </w:rPr>
        <w:t xml:space="preserve">auf der </w:t>
      </w:r>
      <w:proofErr w:type="spellStart"/>
      <w:r w:rsidRPr="00A13DF2">
        <w:rPr>
          <w:rFonts w:ascii="Arial" w:hAnsi="Arial" w:cs="Arial"/>
          <w:color w:val="000000" w:themeColor="text1"/>
          <w:sz w:val="22"/>
          <w:szCs w:val="22"/>
        </w:rPr>
        <w:t>Fakuma</w:t>
      </w:r>
      <w:proofErr w:type="spellEnd"/>
      <w:r w:rsidRPr="00A13DF2">
        <w:rPr>
          <w:rFonts w:ascii="Arial" w:hAnsi="Arial" w:cs="Arial"/>
          <w:color w:val="000000" w:themeColor="text1"/>
          <w:sz w:val="22"/>
          <w:szCs w:val="22"/>
        </w:rPr>
        <w:t xml:space="preserve"> 2026 (Stand B5-5109).  Die beiden Partnerunternehmen stellen sich dort als Gesamtlösungsanbieter für das effiziente, sichere und ergonomische Handling der nicht selten tonnenschweren Werkzeuge vor. Für schnelle Formenwechsel an der Spritzgussmaschine werden ebenso Lösungen präsentiert wie für das Drehen, Wenden und Separieren der Formen bei Reinigung, Wartung, Transport und Einlagerung. Auch kundenindividuelle Lösungen wie etwa die maßgeschneiderte Fertigung von Lastaufnahmemitteln sind Thema des Messeauftritts. Zudem stellen die beiden Partnerunternehmen ihre Leistungen in puncto Beratung, Lösungskonfiguration und Prüfservice vor. In diesem Zusammenhang haben Besucher auch die Möglichkeit, ihre </w:t>
      </w:r>
      <w:proofErr w:type="spellStart"/>
      <w:r w:rsidRPr="00A13DF2">
        <w:rPr>
          <w:rFonts w:ascii="Arial" w:hAnsi="Arial" w:cs="Arial"/>
          <w:color w:val="000000" w:themeColor="text1"/>
          <w:sz w:val="22"/>
          <w:szCs w:val="22"/>
        </w:rPr>
        <w:t>Handlingherausforderungen</w:t>
      </w:r>
      <w:proofErr w:type="spellEnd"/>
      <w:r w:rsidRPr="00A13DF2">
        <w:rPr>
          <w:rFonts w:ascii="Arial" w:hAnsi="Arial" w:cs="Arial"/>
          <w:color w:val="000000" w:themeColor="text1"/>
          <w:sz w:val="22"/>
          <w:szCs w:val="22"/>
        </w:rPr>
        <w:t xml:space="preserve"> aus Werkzeugbau, Spritzgussfertigung oder Wartungs- und Instandhaltungsservice direkt am Messestand mit branchenerfahrenen Experten von RUD und RUD+SpanSet Ramstein zu erörtern. </w:t>
      </w:r>
      <w:r w:rsidR="00B03CEA">
        <w:rPr>
          <w:rFonts w:ascii="Arial" w:hAnsi="Arial" w:cs="Arial"/>
          <w:color w:val="000000" w:themeColor="text1"/>
          <w:sz w:val="22"/>
          <w:szCs w:val="22"/>
        </w:rPr>
        <w:t xml:space="preserve">Unter </w:t>
      </w:r>
      <w:hyperlink r:id="rId6" w:history="1">
        <w:r w:rsidR="00B03CEA" w:rsidRPr="008716F9">
          <w:rPr>
            <w:rStyle w:val="Hyperlink"/>
            <w:rFonts w:ascii="Arial" w:hAnsi="Arial" w:cs="Arial"/>
            <w:sz w:val="22"/>
            <w:szCs w:val="22"/>
          </w:rPr>
          <w:t>www.rud.com/fakuma-2026</w:t>
        </w:r>
      </w:hyperlink>
      <w:r w:rsidR="00B03CEA">
        <w:rPr>
          <w:rFonts w:ascii="Arial" w:hAnsi="Arial" w:cs="Arial"/>
          <w:color w:val="000000" w:themeColor="text1"/>
          <w:sz w:val="22"/>
          <w:szCs w:val="22"/>
        </w:rPr>
        <w:t xml:space="preserve"> </w:t>
      </w:r>
      <w:r w:rsidRPr="00A13DF2">
        <w:rPr>
          <w:rFonts w:ascii="Arial" w:hAnsi="Arial" w:cs="Arial"/>
          <w:color w:val="000000" w:themeColor="text1"/>
          <w:sz w:val="22"/>
          <w:szCs w:val="22"/>
        </w:rPr>
        <w:t>können persönliche Termine vereinbart und kostenlose Messetickets angefordert werden.</w:t>
      </w:r>
    </w:p>
    <w:p w14:paraId="04943BCF"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p>
    <w:p w14:paraId="45C723C7"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b/>
          <w:bCs/>
          <w:color w:val="000000" w:themeColor="text1"/>
          <w:sz w:val="22"/>
        </w:rPr>
      </w:pPr>
      <w:r w:rsidRPr="00A13DF2">
        <w:rPr>
          <w:rFonts w:ascii="Arial" w:hAnsi="Arial" w:cs="Arial"/>
          <w:b/>
          <w:bCs/>
          <w:color w:val="000000" w:themeColor="text1"/>
          <w:sz w:val="22"/>
        </w:rPr>
        <w:t>Anschlagpunkte mit Federmechanik verhindern Shock Loads</w:t>
      </w:r>
    </w:p>
    <w:p w14:paraId="03B47040"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p>
    <w:p w14:paraId="3C42EA64"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r w:rsidRPr="00A13DF2">
        <w:rPr>
          <w:rFonts w:ascii="Arial" w:hAnsi="Arial" w:cs="Arial"/>
          <w:color w:val="000000" w:themeColor="text1"/>
          <w:sz w:val="22"/>
        </w:rPr>
        <w:t xml:space="preserve">Im Anwendungsbereich Heben und Positionieren zeigt die </w:t>
      </w:r>
      <w:proofErr w:type="gramStart"/>
      <w:r w:rsidRPr="00A13DF2">
        <w:rPr>
          <w:rFonts w:ascii="Arial" w:hAnsi="Arial" w:cs="Arial"/>
          <w:color w:val="000000" w:themeColor="text1"/>
          <w:sz w:val="22"/>
        </w:rPr>
        <w:t>RUD Gruppe</w:t>
      </w:r>
      <w:proofErr w:type="gramEnd"/>
      <w:r w:rsidRPr="00A13DF2">
        <w:rPr>
          <w:rFonts w:ascii="Arial" w:hAnsi="Arial" w:cs="Arial"/>
          <w:color w:val="000000" w:themeColor="text1"/>
          <w:sz w:val="22"/>
        </w:rPr>
        <w:t xml:space="preserve"> als Messehighlight den Anschlagpunkt ACP-TURNADO, der vom </w:t>
      </w:r>
      <w:proofErr w:type="gramStart"/>
      <w:r w:rsidRPr="00A13DF2">
        <w:rPr>
          <w:rFonts w:ascii="Arial" w:hAnsi="Arial" w:cs="Arial"/>
          <w:color w:val="000000" w:themeColor="text1"/>
          <w:sz w:val="22"/>
        </w:rPr>
        <w:t>RUD  Geschäftsbereich</w:t>
      </w:r>
      <w:proofErr w:type="gramEnd"/>
      <w:r w:rsidRPr="00A13DF2">
        <w:rPr>
          <w:rFonts w:ascii="Arial" w:hAnsi="Arial" w:cs="Arial"/>
          <w:color w:val="000000" w:themeColor="text1"/>
          <w:sz w:val="22"/>
        </w:rPr>
        <w:t xml:space="preserve"> Sling &amp; Lashing entwickelt wurde. Er beugt den von vielen Anwendern gefürchteten Shock Loads vor, bei denen schwere Lasten schlagartig absacken – was Schäden an den Lasten selbst, aber auch an Krantechnik und Lastaufnahmemitteln verursachen und zudem beteiligte Personen </w:t>
      </w:r>
      <w:r w:rsidRPr="00A13DF2">
        <w:rPr>
          <w:rFonts w:ascii="Arial" w:hAnsi="Arial" w:cs="Arial"/>
          <w:color w:val="000000" w:themeColor="text1"/>
          <w:sz w:val="22"/>
        </w:rPr>
        <w:lastRenderedPageBreak/>
        <w:t>ernsthaft gefährden kann. Dank einer integrierten Federmechanik richtet sich der Bügel des Anschlagpunkts immer in Lastrichtung aus, sodass er nicht senkrecht stehenbleiben und unvermittelt umschlagen kann. Gefährliche Querbelastungen sowie ein ruckartiges Absacken der Last sind somit ausgeschlossen. Im Vergleich zu marktüblichen Anschlagpunkten ähnlicher Form und Baugröße bietet der RUD ACP-TURNADO außerdem eine um bis zu 30 Prozent höhere Tragfähigkeit, was ihn für das Handling schwerer Formen und Werkzeuge zusätzlich qualifiziert.</w:t>
      </w:r>
    </w:p>
    <w:p w14:paraId="6E26DF6F"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p>
    <w:p w14:paraId="64568EBF"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b/>
          <w:bCs/>
          <w:color w:val="000000" w:themeColor="text1"/>
          <w:sz w:val="22"/>
        </w:rPr>
      </w:pPr>
      <w:r w:rsidRPr="00A13DF2">
        <w:rPr>
          <w:rFonts w:ascii="Arial" w:hAnsi="Arial" w:cs="Arial"/>
          <w:b/>
          <w:bCs/>
          <w:color w:val="000000" w:themeColor="text1"/>
          <w:sz w:val="22"/>
        </w:rPr>
        <w:t>Automatikhaken und Transportköpfe für vollautomatisiertes Heben</w:t>
      </w:r>
    </w:p>
    <w:p w14:paraId="67AF251A"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p>
    <w:p w14:paraId="452F4FFB" w14:textId="77777777" w:rsidR="00981005" w:rsidRPr="009E7071"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szCs w:val="22"/>
        </w:rPr>
      </w:pPr>
      <w:r w:rsidRPr="00A13DF2">
        <w:rPr>
          <w:rFonts w:ascii="Arial" w:hAnsi="Arial" w:cs="Arial"/>
          <w:color w:val="000000" w:themeColor="text1"/>
          <w:sz w:val="22"/>
        </w:rPr>
        <w:t xml:space="preserve">Neben weiteren </w:t>
      </w:r>
      <w:proofErr w:type="gramStart"/>
      <w:r w:rsidRPr="00A13DF2">
        <w:rPr>
          <w:rFonts w:ascii="Arial" w:hAnsi="Arial" w:cs="Arial"/>
          <w:color w:val="000000" w:themeColor="text1"/>
          <w:sz w:val="22"/>
        </w:rPr>
        <w:t>RUD Lösungen</w:t>
      </w:r>
      <w:proofErr w:type="gramEnd"/>
      <w:r w:rsidRPr="00A13DF2">
        <w:rPr>
          <w:rFonts w:ascii="Arial" w:hAnsi="Arial" w:cs="Arial"/>
          <w:color w:val="000000" w:themeColor="text1"/>
          <w:sz w:val="22"/>
        </w:rPr>
        <w:t xml:space="preserve"> im Bereich Heben und Positionieren wie etwa den vielseitigen </w:t>
      </w:r>
      <w:proofErr w:type="gramStart"/>
      <w:r w:rsidRPr="00A13DF2">
        <w:rPr>
          <w:rFonts w:ascii="Arial" w:hAnsi="Arial" w:cs="Arial"/>
          <w:color w:val="000000" w:themeColor="text1"/>
          <w:sz w:val="22"/>
        </w:rPr>
        <w:t>VWBG Wirbelböcken</w:t>
      </w:r>
      <w:proofErr w:type="gramEnd"/>
      <w:r w:rsidRPr="00A13DF2">
        <w:rPr>
          <w:rFonts w:ascii="Arial" w:hAnsi="Arial" w:cs="Arial"/>
          <w:color w:val="000000" w:themeColor="text1"/>
          <w:sz w:val="22"/>
        </w:rPr>
        <w:t xml:space="preserve"> sind am Messestand auch Automatikhaken und </w:t>
      </w:r>
      <w:proofErr w:type="gramStart"/>
      <w:r w:rsidRPr="00A13DF2">
        <w:rPr>
          <w:rFonts w:ascii="Arial" w:hAnsi="Arial" w:cs="Arial"/>
          <w:color w:val="000000" w:themeColor="text1"/>
          <w:sz w:val="22"/>
        </w:rPr>
        <w:t>ABZ Transportköpfe</w:t>
      </w:r>
      <w:proofErr w:type="gramEnd"/>
      <w:r w:rsidRPr="00A13DF2">
        <w:rPr>
          <w:rFonts w:ascii="Arial" w:hAnsi="Arial" w:cs="Arial"/>
          <w:color w:val="000000" w:themeColor="text1"/>
          <w:sz w:val="22"/>
        </w:rPr>
        <w:t xml:space="preserve"> von RUD</w:t>
      </w:r>
      <w:r w:rsidRPr="00A13DF2">
        <w:rPr>
          <w:rFonts w:ascii="Arial" w:hAnsi="Arial" w:cs="Arial"/>
          <w:color w:val="000000" w:themeColor="text1"/>
          <w:sz w:val="22"/>
          <w:szCs w:val="22"/>
        </w:rPr>
        <w:t xml:space="preserve">+SpanSet Ramstein zu sehen. Sie werden </w:t>
      </w:r>
      <w:r w:rsidRPr="009E7071">
        <w:rPr>
          <w:rFonts w:ascii="Arial" w:hAnsi="Arial" w:cs="Arial"/>
          <w:color w:val="000000" w:themeColor="text1"/>
          <w:sz w:val="22"/>
          <w:szCs w:val="22"/>
        </w:rPr>
        <w:t>im Praxiseinsatz fest mit der Krantechnik bzw. der Spritzgussform verbunden und ermöglichen im Zusammenspiel ein vollautomatisiertes schnelles und sicheres Heben größerer Formen. Ein manuelles Einhängen des Hakens wird dadurch erübrigt, sodass die Bediener bei diesem Arbeitsschritt nicht auf das Werkzeug aufsteigen müssen und komfortable Sicherheitsabstände einhalten können.</w:t>
      </w:r>
    </w:p>
    <w:p w14:paraId="431C1B7D" w14:textId="77777777" w:rsidR="00981005" w:rsidRPr="009E7071"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p>
    <w:p w14:paraId="285752F1"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b/>
          <w:bCs/>
          <w:color w:val="000000" w:themeColor="text1"/>
          <w:sz w:val="22"/>
        </w:rPr>
      </w:pPr>
      <w:r w:rsidRPr="009E7071">
        <w:rPr>
          <w:rFonts w:ascii="Arial" w:hAnsi="Arial" w:cs="Arial"/>
          <w:b/>
          <w:bCs/>
          <w:color w:val="000000" w:themeColor="text1"/>
          <w:sz w:val="22"/>
        </w:rPr>
        <w:t>Tools für sicheres und ergonomisches Wenden und Öffnen</w:t>
      </w:r>
    </w:p>
    <w:p w14:paraId="3915BACC"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p>
    <w:p w14:paraId="11ABF662"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szCs w:val="22"/>
        </w:rPr>
      </w:pPr>
      <w:r w:rsidRPr="00A13DF2">
        <w:rPr>
          <w:rFonts w:ascii="Arial" w:hAnsi="Arial" w:cs="Arial"/>
          <w:color w:val="000000" w:themeColor="text1"/>
          <w:sz w:val="22"/>
          <w:szCs w:val="22"/>
        </w:rPr>
        <w:t xml:space="preserve">Für Dreh- und Wende- sowie Öffnungs- und Schließprozesse stellt der RUD Geschäftsbereich </w:t>
      </w:r>
      <w:proofErr w:type="spellStart"/>
      <w:r w:rsidRPr="00A13DF2">
        <w:rPr>
          <w:rFonts w:ascii="Arial" w:hAnsi="Arial" w:cs="Arial"/>
          <w:color w:val="000000" w:themeColor="text1"/>
          <w:sz w:val="22"/>
          <w:szCs w:val="22"/>
        </w:rPr>
        <w:t>Conveyor</w:t>
      </w:r>
      <w:proofErr w:type="spellEnd"/>
      <w:r w:rsidRPr="00A13DF2">
        <w:rPr>
          <w:rFonts w:ascii="Arial" w:hAnsi="Arial" w:cs="Arial"/>
          <w:color w:val="000000" w:themeColor="text1"/>
          <w:sz w:val="22"/>
          <w:szCs w:val="22"/>
        </w:rPr>
        <w:t xml:space="preserve"> &amp; Drives seine Werkzeugwender der Baureihe TECDOS TM und seine Formenöffner TECDOS TSB vor. Die </w:t>
      </w:r>
      <w:proofErr w:type="gramStart"/>
      <w:r w:rsidRPr="00A13DF2">
        <w:rPr>
          <w:rFonts w:ascii="Arial" w:hAnsi="Arial" w:cs="Arial"/>
          <w:color w:val="000000" w:themeColor="text1"/>
          <w:sz w:val="22"/>
          <w:szCs w:val="22"/>
        </w:rPr>
        <w:t>RUD Werkzeugwender</w:t>
      </w:r>
      <w:proofErr w:type="gramEnd"/>
      <w:r w:rsidRPr="00A13DF2">
        <w:rPr>
          <w:rFonts w:ascii="Arial" w:hAnsi="Arial" w:cs="Arial"/>
          <w:color w:val="000000" w:themeColor="text1"/>
          <w:sz w:val="22"/>
          <w:szCs w:val="22"/>
        </w:rPr>
        <w:t xml:space="preserve"> ermöglichen es, Spritzgussformen von bis zu 64 Tonnen Gewicht zuverlässig und sicher per Knopfdruck in unter einer Minute um bis zu 90° um ihre Schwerpunktachse zu drehen. Die </w:t>
      </w:r>
      <w:proofErr w:type="gramStart"/>
      <w:r w:rsidRPr="00A13DF2">
        <w:rPr>
          <w:rFonts w:ascii="Arial" w:hAnsi="Arial" w:cs="Arial"/>
          <w:color w:val="000000" w:themeColor="text1"/>
          <w:sz w:val="22"/>
          <w:szCs w:val="22"/>
        </w:rPr>
        <w:t>RUD Formenöffner</w:t>
      </w:r>
      <w:proofErr w:type="gramEnd"/>
      <w:r w:rsidRPr="00A13DF2">
        <w:rPr>
          <w:rFonts w:ascii="Arial" w:hAnsi="Arial" w:cs="Arial"/>
          <w:color w:val="000000" w:themeColor="text1"/>
          <w:sz w:val="22"/>
          <w:szCs w:val="22"/>
        </w:rPr>
        <w:t xml:space="preserve"> sind für Spritzgießwerkzeuge bis zu einem Gewicht von 2,5 Tonnen geeignet und unterstützen das kontrollierte manuelle Öffnen der Formen – ohne ergänzenden Einsatz elektrischer, pneumatischer oder hydraulischer Hilfsenergie. Die ergonomisch gestaltete Plattform erlaubt es zudem bei beiden Maschinen, Prozessschritte wie Reinigen, Warten oder Reparieren direkt auf der Arbeitsfläche durchzuführen.</w:t>
      </w:r>
    </w:p>
    <w:p w14:paraId="0D17D204"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szCs w:val="22"/>
        </w:rPr>
      </w:pPr>
    </w:p>
    <w:p w14:paraId="65E090B5"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b/>
          <w:bCs/>
          <w:color w:val="000000" w:themeColor="text1"/>
          <w:sz w:val="22"/>
          <w:szCs w:val="22"/>
        </w:rPr>
      </w:pPr>
      <w:r w:rsidRPr="00A13DF2">
        <w:rPr>
          <w:rFonts w:ascii="Arial" w:hAnsi="Arial" w:cs="Arial"/>
          <w:b/>
          <w:bCs/>
          <w:color w:val="000000" w:themeColor="text1"/>
          <w:sz w:val="22"/>
          <w:szCs w:val="22"/>
        </w:rPr>
        <w:t>Exponate demonstrieren praktische Anwendung</w:t>
      </w:r>
    </w:p>
    <w:p w14:paraId="731C64DD"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szCs w:val="22"/>
        </w:rPr>
      </w:pPr>
    </w:p>
    <w:p w14:paraId="23566ED1"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szCs w:val="22"/>
        </w:rPr>
      </w:pPr>
      <w:r w:rsidRPr="00A13DF2">
        <w:rPr>
          <w:rFonts w:ascii="Arial" w:hAnsi="Arial" w:cs="Arial"/>
          <w:color w:val="000000" w:themeColor="text1"/>
          <w:sz w:val="22"/>
          <w:szCs w:val="22"/>
        </w:rPr>
        <w:t xml:space="preserve">Abgerundet wird der Messeauftritt durch eine Reihe von Exponaten, die – teils im Modell, teils im Original – das Heben, Drehen, Wenden und Transportieren von Spritzgussformen mithilfe der Lösungen von RUD und RUD+SpanSet Ramstein demonstrieren. Nähere Informationen zu den vorgestellten </w:t>
      </w:r>
      <w:proofErr w:type="spellStart"/>
      <w:r w:rsidRPr="00A13DF2">
        <w:rPr>
          <w:rFonts w:ascii="Arial" w:hAnsi="Arial" w:cs="Arial"/>
          <w:color w:val="000000" w:themeColor="text1"/>
          <w:sz w:val="22"/>
          <w:szCs w:val="22"/>
        </w:rPr>
        <w:t>Handlinglösungen</w:t>
      </w:r>
      <w:proofErr w:type="spellEnd"/>
      <w:r w:rsidRPr="00A13DF2">
        <w:rPr>
          <w:rFonts w:ascii="Arial" w:hAnsi="Arial" w:cs="Arial"/>
          <w:color w:val="000000" w:themeColor="text1"/>
          <w:sz w:val="22"/>
          <w:szCs w:val="22"/>
        </w:rPr>
        <w:t xml:space="preserve"> gibt es zudem online unter slingandlashing.rud.com bzw. moldhandling.rud.com sowie rudspanset.de/Ramstein.</w:t>
      </w:r>
    </w:p>
    <w:p w14:paraId="45E61D92" w14:textId="77777777" w:rsidR="00981005" w:rsidRPr="00A13DF2"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p>
    <w:p w14:paraId="2809351E" w14:textId="77777777" w:rsidR="00981005" w:rsidRDefault="00981005" w:rsidP="00EB2B65">
      <w:pPr>
        <w:widowControl w:val="0"/>
        <w:tabs>
          <w:tab w:val="left" w:pos="8647"/>
        </w:tabs>
        <w:autoSpaceDE w:val="0"/>
        <w:autoSpaceDN w:val="0"/>
        <w:adjustRightInd w:val="0"/>
        <w:spacing w:line="276" w:lineRule="auto"/>
        <w:rPr>
          <w:rFonts w:ascii="Arial" w:hAnsi="Arial" w:cs="Arial"/>
          <w:color w:val="000000" w:themeColor="text1"/>
          <w:sz w:val="22"/>
        </w:rPr>
      </w:pPr>
    </w:p>
    <w:p w14:paraId="77281D7E" w14:textId="77777777" w:rsidR="003E1A05" w:rsidRDefault="003E1A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p>
    <w:p w14:paraId="7FB8CEB4" w14:textId="77777777" w:rsidR="003E1A05" w:rsidRDefault="003E1A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p>
    <w:p w14:paraId="4F8D0609" w14:textId="77777777" w:rsidR="003E1A05" w:rsidRDefault="003E1A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p>
    <w:p w14:paraId="17A2C478" w14:textId="77777777" w:rsidR="003E1A05" w:rsidRDefault="003E1A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p>
    <w:p w14:paraId="78AEFB35" w14:textId="77777777" w:rsidR="003E1A05" w:rsidRDefault="003E1A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p>
    <w:p w14:paraId="4320BB07" w14:textId="77777777" w:rsidR="003E1A05" w:rsidRPr="00A13DF2" w:rsidRDefault="003E1A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p>
    <w:p w14:paraId="044799E4"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b/>
          <w:bCs/>
          <w:color w:val="000000" w:themeColor="text1"/>
          <w:sz w:val="22"/>
        </w:rPr>
      </w:pPr>
      <w:r w:rsidRPr="00A13DF2">
        <w:rPr>
          <w:rFonts w:ascii="Arial" w:hAnsi="Arial" w:cs="Arial"/>
          <w:b/>
          <w:bCs/>
          <w:color w:val="000000" w:themeColor="text1"/>
          <w:sz w:val="22"/>
        </w:rPr>
        <w:t>Bilder:</w:t>
      </w:r>
    </w:p>
    <w:p w14:paraId="49E77913"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p>
    <w:p w14:paraId="501C9F0D"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r w:rsidRPr="00A13DF2">
        <w:rPr>
          <w:rFonts w:ascii="Arial" w:hAnsi="Arial" w:cs="Arial"/>
          <w:noProof/>
          <w:color w:val="000000" w:themeColor="text1"/>
          <w:sz w:val="22"/>
        </w:rPr>
        <w:drawing>
          <wp:inline distT="0" distB="0" distL="0" distR="0" wp14:anchorId="0990EE41" wp14:editId="1810DCAD">
            <wp:extent cx="3981450" cy="2986307"/>
            <wp:effectExtent l="0" t="0" r="0" b="5080"/>
            <wp:docPr id="180547357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22794" cy="3017318"/>
                    </a:xfrm>
                    <a:prstGeom prst="rect">
                      <a:avLst/>
                    </a:prstGeom>
                    <a:noFill/>
                    <a:ln>
                      <a:noFill/>
                    </a:ln>
                  </pic:spPr>
                </pic:pic>
              </a:graphicData>
            </a:graphic>
          </wp:inline>
        </w:drawing>
      </w:r>
    </w:p>
    <w:p w14:paraId="750E84B2"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b/>
          <w:bCs/>
          <w:i/>
          <w:iCs/>
          <w:color w:val="000000" w:themeColor="text1"/>
          <w:sz w:val="18"/>
          <w:szCs w:val="18"/>
        </w:rPr>
      </w:pPr>
      <w:r w:rsidRPr="00A13DF2">
        <w:rPr>
          <w:rFonts w:ascii="Arial" w:hAnsi="Arial" w:cs="Arial"/>
          <w:b/>
          <w:bCs/>
          <w:i/>
          <w:iCs/>
          <w:color w:val="000000" w:themeColor="text1"/>
          <w:sz w:val="18"/>
          <w:szCs w:val="18"/>
        </w:rPr>
        <w:t>Bild 1: Der Bügel des RUD Anschlagpunkts ACP-TURNADO – hier beim Heben einer Spritzgussform – richtet sich aufgrund einer integrierten Federmechanik automatisch in Lastrichtung aus und beugt dadurch gefährlichen Querstellungen sowie dem ruckartigen Absacken von Lasten vor. Bildquelle: RUD</w:t>
      </w:r>
    </w:p>
    <w:p w14:paraId="49058BBD"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p>
    <w:p w14:paraId="74CE9ADD"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p>
    <w:p w14:paraId="3517FBE2"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r w:rsidRPr="00A13DF2">
        <w:rPr>
          <w:noProof/>
        </w:rPr>
        <w:drawing>
          <wp:inline distT="0" distB="0" distL="0" distR="0" wp14:anchorId="59EEA101" wp14:editId="32A37A22">
            <wp:extent cx="3936217" cy="2950210"/>
            <wp:effectExtent l="0" t="0" r="7620" b="2540"/>
            <wp:docPr id="160740105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8272" cy="2959246"/>
                    </a:xfrm>
                    <a:prstGeom prst="rect">
                      <a:avLst/>
                    </a:prstGeom>
                    <a:noFill/>
                    <a:ln>
                      <a:noFill/>
                    </a:ln>
                  </pic:spPr>
                </pic:pic>
              </a:graphicData>
            </a:graphic>
          </wp:inline>
        </w:drawing>
      </w:r>
    </w:p>
    <w:p w14:paraId="7426E0A5"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b/>
          <w:bCs/>
          <w:i/>
          <w:iCs/>
          <w:color w:val="000000" w:themeColor="text1"/>
          <w:sz w:val="18"/>
          <w:szCs w:val="18"/>
        </w:rPr>
      </w:pPr>
      <w:r w:rsidRPr="00A13DF2">
        <w:rPr>
          <w:rFonts w:ascii="Arial" w:hAnsi="Arial" w:cs="Arial"/>
          <w:b/>
          <w:bCs/>
          <w:i/>
          <w:iCs/>
          <w:color w:val="000000" w:themeColor="text1"/>
          <w:sz w:val="18"/>
          <w:szCs w:val="18"/>
        </w:rPr>
        <w:t xml:space="preserve">Bild 2: Eine schwere Spritzgussform wird mit Hilfe von </w:t>
      </w:r>
      <w:proofErr w:type="gramStart"/>
      <w:r w:rsidRPr="00A13DF2">
        <w:rPr>
          <w:rFonts w:ascii="Arial" w:hAnsi="Arial" w:cs="Arial"/>
          <w:b/>
          <w:bCs/>
          <w:i/>
          <w:iCs/>
          <w:color w:val="000000" w:themeColor="text1"/>
          <w:sz w:val="18"/>
          <w:szCs w:val="18"/>
        </w:rPr>
        <w:t>RUD Anschlagtechnik</w:t>
      </w:r>
      <w:proofErr w:type="gramEnd"/>
      <w:r w:rsidRPr="00A13DF2">
        <w:rPr>
          <w:rFonts w:ascii="Arial" w:hAnsi="Arial" w:cs="Arial"/>
          <w:b/>
          <w:bCs/>
          <w:i/>
          <w:iCs/>
          <w:color w:val="000000" w:themeColor="text1"/>
          <w:sz w:val="18"/>
          <w:szCs w:val="18"/>
        </w:rPr>
        <w:t xml:space="preserve"> auf einen </w:t>
      </w:r>
      <w:proofErr w:type="gramStart"/>
      <w:r w:rsidRPr="00A13DF2">
        <w:rPr>
          <w:rFonts w:ascii="Arial" w:hAnsi="Arial" w:cs="Arial"/>
          <w:b/>
          <w:bCs/>
          <w:i/>
          <w:iCs/>
          <w:color w:val="000000" w:themeColor="text1"/>
          <w:sz w:val="18"/>
          <w:szCs w:val="18"/>
        </w:rPr>
        <w:t>RUD Werkzeugwender</w:t>
      </w:r>
      <w:proofErr w:type="gramEnd"/>
      <w:r w:rsidRPr="00A13DF2">
        <w:rPr>
          <w:rFonts w:ascii="Arial" w:hAnsi="Arial" w:cs="Arial"/>
          <w:b/>
          <w:bCs/>
          <w:i/>
          <w:iCs/>
          <w:color w:val="000000" w:themeColor="text1"/>
          <w:sz w:val="18"/>
          <w:szCs w:val="18"/>
        </w:rPr>
        <w:t xml:space="preserve"> gehoben. Bildquelle: RUD</w:t>
      </w:r>
    </w:p>
    <w:p w14:paraId="12850817"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b/>
          <w:bCs/>
          <w:i/>
          <w:iCs/>
          <w:color w:val="000000" w:themeColor="text1"/>
          <w:sz w:val="18"/>
          <w:szCs w:val="18"/>
        </w:rPr>
      </w:pPr>
    </w:p>
    <w:p w14:paraId="14940E6F"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r w:rsidRPr="00A13DF2">
        <w:rPr>
          <w:noProof/>
        </w:rPr>
        <w:lastRenderedPageBreak/>
        <w:drawing>
          <wp:inline distT="0" distB="0" distL="0" distR="0" wp14:anchorId="44912ADD" wp14:editId="10264930">
            <wp:extent cx="3784600" cy="3784600"/>
            <wp:effectExtent l="0" t="0" r="6350" b="6350"/>
            <wp:docPr id="29295052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4600" cy="3784600"/>
                    </a:xfrm>
                    <a:prstGeom prst="rect">
                      <a:avLst/>
                    </a:prstGeom>
                    <a:noFill/>
                    <a:ln>
                      <a:noFill/>
                    </a:ln>
                  </pic:spPr>
                </pic:pic>
              </a:graphicData>
            </a:graphic>
          </wp:inline>
        </w:drawing>
      </w:r>
    </w:p>
    <w:p w14:paraId="0EFA7505"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b/>
          <w:bCs/>
          <w:i/>
          <w:iCs/>
          <w:color w:val="000000" w:themeColor="text1"/>
          <w:sz w:val="18"/>
          <w:szCs w:val="18"/>
        </w:rPr>
      </w:pPr>
      <w:r w:rsidRPr="00A13DF2">
        <w:rPr>
          <w:rFonts w:ascii="Arial" w:hAnsi="Arial" w:cs="Arial"/>
          <w:b/>
          <w:bCs/>
          <w:i/>
          <w:iCs/>
          <w:color w:val="000000" w:themeColor="text1"/>
          <w:sz w:val="18"/>
          <w:szCs w:val="18"/>
        </w:rPr>
        <w:t xml:space="preserve">Bild 3: Die Automatikhaken und </w:t>
      </w:r>
      <w:proofErr w:type="gramStart"/>
      <w:r w:rsidRPr="00A13DF2">
        <w:rPr>
          <w:rFonts w:ascii="Arial" w:hAnsi="Arial" w:cs="Arial"/>
          <w:b/>
          <w:bCs/>
          <w:i/>
          <w:iCs/>
          <w:color w:val="000000" w:themeColor="text1"/>
          <w:sz w:val="18"/>
          <w:szCs w:val="18"/>
        </w:rPr>
        <w:t>ABZ Transportköpfe</w:t>
      </w:r>
      <w:proofErr w:type="gramEnd"/>
      <w:r w:rsidRPr="00A13DF2">
        <w:rPr>
          <w:rFonts w:ascii="Arial" w:hAnsi="Arial" w:cs="Arial"/>
          <w:b/>
          <w:bCs/>
          <w:i/>
          <w:iCs/>
          <w:color w:val="000000" w:themeColor="text1"/>
          <w:sz w:val="18"/>
          <w:szCs w:val="18"/>
        </w:rPr>
        <w:t xml:space="preserve"> von RUD+SpanSet Ramstein ermöglichen im Zusammenspiel ein vollautomatisiertes schnelles und sicheres Heben größerer Formen. Bildquelle: RUD</w:t>
      </w:r>
    </w:p>
    <w:p w14:paraId="3967F93D" w14:textId="77777777" w:rsidR="00981005" w:rsidRPr="00A13DF2" w:rsidRDefault="00981005" w:rsidP="00981005">
      <w:pPr>
        <w:widowControl w:val="0"/>
        <w:tabs>
          <w:tab w:val="left" w:pos="8647"/>
        </w:tabs>
        <w:autoSpaceDE w:val="0"/>
        <w:autoSpaceDN w:val="0"/>
        <w:adjustRightInd w:val="0"/>
        <w:spacing w:line="276" w:lineRule="auto"/>
        <w:jc w:val="both"/>
        <w:rPr>
          <w:rFonts w:ascii="Arial" w:hAnsi="Arial" w:cs="Arial"/>
          <w:color w:val="000000" w:themeColor="text1"/>
          <w:sz w:val="22"/>
        </w:rPr>
      </w:pPr>
    </w:p>
    <w:p w14:paraId="4B811B41" w14:textId="77777777" w:rsidR="00846AEA" w:rsidRDefault="00846AEA" w:rsidP="00981005">
      <w:pPr>
        <w:widowControl w:val="0"/>
        <w:tabs>
          <w:tab w:val="left" w:pos="8647"/>
        </w:tabs>
        <w:autoSpaceDE w:val="0"/>
        <w:autoSpaceDN w:val="0"/>
        <w:adjustRightInd w:val="0"/>
        <w:spacing w:line="276" w:lineRule="auto"/>
        <w:rPr>
          <w:rFonts w:ascii="Arial" w:hAnsi="Arial" w:cs="Arial"/>
          <w:b/>
          <w:sz w:val="20"/>
          <w:szCs w:val="20"/>
        </w:rPr>
      </w:pPr>
    </w:p>
    <w:p w14:paraId="0AA2C679" w14:textId="77777777" w:rsidR="00846AEA" w:rsidRDefault="00846AEA" w:rsidP="00981005">
      <w:pPr>
        <w:widowControl w:val="0"/>
        <w:tabs>
          <w:tab w:val="left" w:pos="8647"/>
        </w:tabs>
        <w:autoSpaceDE w:val="0"/>
        <w:autoSpaceDN w:val="0"/>
        <w:adjustRightInd w:val="0"/>
        <w:spacing w:line="276" w:lineRule="auto"/>
        <w:rPr>
          <w:rFonts w:ascii="Arial" w:hAnsi="Arial" w:cs="Arial"/>
          <w:b/>
          <w:sz w:val="20"/>
          <w:szCs w:val="20"/>
        </w:rPr>
      </w:pPr>
    </w:p>
    <w:p w14:paraId="3E4DCE40" w14:textId="32FF63C2" w:rsidR="004B0733" w:rsidRPr="00081870" w:rsidRDefault="004B0733" w:rsidP="00981005">
      <w:pPr>
        <w:widowControl w:val="0"/>
        <w:tabs>
          <w:tab w:val="left" w:pos="8647"/>
        </w:tabs>
        <w:autoSpaceDE w:val="0"/>
        <w:autoSpaceDN w:val="0"/>
        <w:adjustRightInd w:val="0"/>
        <w:spacing w:line="276" w:lineRule="auto"/>
        <w:rPr>
          <w:rFonts w:ascii="Arial" w:hAnsi="Arial" w:cs="Arial"/>
          <w:b/>
          <w:sz w:val="20"/>
          <w:szCs w:val="20"/>
        </w:rPr>
      </w:pPr>
      <w:r w:rsidRPr="00081870">
        <w:rPr>
          <w:rFonts w:ascii="Arial" w:hAnsi="Arial" w:cs="Arial"/>
          <w:b/>
          <w:sz w:val="20"/>
          <w:szCs w:val="20"/>
        </w:rPr>
        <w:t>Das Unternehmen</w:t>
      </w:r>
    </w:p>
    <w:p w14:paraId="49EE4823" w14:textId="77777777" w:rsidR="004B0733" w:rsidRPr="00081870" w:rsidRDefault="004B0733" w:rsidP="00981005">
      <w:pPr>
        <w:widowControl w:val="0"/>
        <w:tabs>
          <w:tab w:val="left" w:pos="8647"/>
        </w:tabs>
        <w:autoSpaceDE w:val="0"/>
        <w:autoSpaceDN w:val="0"/>
        <w:adjustRightInd w:val="0"/>
        <w:spacing w:line="276" w:lineRule="auto"/>
        <w:rPr>
          <w:rFonts w:ascii="Arial" w:hAnsi="Arial" w:cs="Arial"/>
          <w:bCs/>
          <w:sz w:val="20"/>
          <w:szCs w:val="20"/>
        </w:rPr>
      </w:pPr>
    </w:p>
    <w:p w14:paraId="55524D37" w14:textId="77777777" w:rsidR="004B0733" w:rsidRPr="00081870" w:rsidRDefault="004B0733" w:rsidP="00981005">
      <w:pPr>
        <w:widowControl w:val="0"/>
        <w:tabs>
          <w:tab w:val="left" w:pos="8647"/>
        </w:tabs>
        <w:autoSpaceDE w:val="0"/>
        <w:autoSpaceDN w:val="0"/>
        <w:adjustRightInd w:val="0"/>
        <w:spacing w:line="276" w:lineRule="auto"/>
        <w:rPr>
          <w:rFonts w:ascii="Arial" w:hAnsi="Arial" w:cs="Arial"/>
          <w:bCs/>
          <w:sz w:val="20"/>
          <w:szCs w:val="20"/>
        </w:rPr>
      </w:pPr>
      <w:r w:rsidRPr="00081870">
        <w:rPr>
          <w:rFonts w:ascii="Arial" w:hAnsi="Arial" w:cs="Arial"/>
          <w:bCs/>
          <w:sz w:val="20"/>
          <w:szCs w:val="20"/>
        </w:rPr>
        <w:t xml:space="preserve">Die </w:t>
      </w:r>
      <w:proofErr w:type="gramStart"/>
      <w:r w:rsidRPr="00081870">
        <w:rPr>
          <w:rFonts w:ascii="Arial" w:hAnsi="Arial" w:cs="Arial"/>
          <w:bCs/>
          <w:sz w:val="20"/>
          <w:szCs w:val="20"/>
        </w:rPr>
        <w:t>RUD Ketten</w:t>
      </w:r>
      <w:proofErr w:type="gramEnd"/>
      <w:r w:rsidRPr="00081870">
        <w:rPr>
          <w:rFonts w:ascii="Arial" w:hAnsi="Arial" w:cs="Arial"/>
          <w:bCs/>
          <w:sz w:val="20"/>
          <w:szCs w:val="20"/>
        </w:rPr>
        <w:t xml:space="preserve"> Rieger &amp; Dietz GmbH u. Co. KG, 1875 von Carl Rieger und Friedrich Dietz im schwäbischen Aalen gegründet, erzielt mit über 1700 Mitarbeitern in über 120 Ländern einen jährlichen Umsatz von über 250 Millionen Euro. An Standorten u.a. in Deutschland, Australien, Brasilien, China, Indien, Rumänien und den USA produziert das Familienunternehmen neben Anschlag- und Zurrtechnologie und Gleitschutzketten auch </w:t>
      </w:r>
      <w:proofErr w:type="spellStart"/>
      <w:r w:rsidRPr="00081870">
        <w:rPr>
          <w:rFonts w:ascii="Arial" w:hAnsi="Arial" w:cs="Arial"/>
          <w:bCs/>
          <w:sz w:val="20"/>
          <w:szCs w:val="20"/>
        </w:rPr>
        <w:t>Hebezeugketten</w:t>
      </w:r>
      <w:proofErr w:type="spellEnd"/>
      <w:r w:rsidRPr="00081870">
        <w:rPr>
          <w:rFonts w:ascii="Arial" w:hAnsi="Arial" w:cs="Arial"/>
          <w:bCs/>
          <w:sz w:val="20"/>
          <w:szCs w:val="20"/>
        </w:rPr>
        <w:t>- und Fördersysteme. Mit der Marke Erlau stellen die Aalener außerdem Reifenschutzketten und Objekteinrichtungen für den Innen- und Außenbereich her.</w:t>
      </w:r>
    </w:p>
    <w:p w14:paraId="51692367" w14:textId="77777777" w:rsidR="004B0733" w:rsidRPr="00081870" w:rsidRDefault="004B0733" w:rsidP="00981005">
      <w:pPr>
        <w:widowControl w:val="0"/>
        <w:tabs>
          <w:tab w:val="left" w:pos="8647"/>
        </w:tabs>
        <w:autoSpaceDE w:val="0"/>
        <w:autoSpaceDN w:val="0"/>
        <w:adjustRightInd w:val="0"/>
        <w:spacing w:line="276" w:lineRule="auto"/>
        <w:rPr>
          <w:rFonts w:ascii="Arial" w:hAnsi="Arial" w:cs="Arial"/>
          <w:bCs/>
          <w:sz w:val="20"/>
          <w:szCs w:val="20"/>
        </w:rPr>
      </w:pPr>
    </w:p>
    <w:p w14:paraId="497FF9E3" w14:textId="77777777" w:rsidR="004B0733" w:rsidRPr="00081870" w:rsidRDefault="004B0733" w:rsidP="00981005">
      <w:pPr>
        <w:widowControl w:val="0"/>
        <w:tabs>
          <w:tab w:val="left" w:pos="8647"/>
        </w:tabs>
        <w:autoSpaceDE w:val="0"/>
        <w:autoSpaceDN w:val="0"/>
        <w:adjustRightInd w:val="0"/>
        <w:spacing w:line="276" w:lineRule="auto"/>
        <w:rPr>
          <w:rFonts w:ascii="Arial" w:hAnsi="Arial" w:cs="Arial"/>
          <w:bCs/>
          <w:sz w:val="20"/>
          <w:szCs w:val="20"/>
        </w:rPr>
      </w:pPr>
    </w:p>
    <w:p w14:paraId="4DA260A4" w14:textId="77777777" w:rsidR="004B0733" w:rsidRPr="00081870" w:rsidRDefault="004B0733" w:rsidP="00981005">
      <w:pPr>
        <w:spacing w:line="276" w:lineRule="auto"/>
        <w:rPr>
          <w:rFonts w:ascii="Arial" w:hAnsi="Arial" w:cs="Arial"/>
          <w:b/>
          <w:bCs/>
          <w:sz w:val="20"/>
          <w:szCs w:val="20"/>
        </w:rPr>
      </w:pPr>
      <w:r w:rsidRPr="00081870">
        <w:rPr>
          <w:rFonts w:ascii="Arial" w:hAnsi="Arial" w:cs="Arial"/>
          <w:b/>
          <w:bCs/>
          <w:sz w:val="20"/>
          <w:szCs w:val="20"/>
        </w:rPr>
        <w:t>Ihr Kontakt:</w:t>
      </w:r>
    </w:p>
    <w:p w14:paraId="696251FC" w14:textId="77777777" w:rsidR="004B0733" w:rsidRPr="00081870" w:rsidRDefault="004B0733" w:rsidP="00981005">
      <w:pPr>
        <w:spacing w:line="276" w:lineRule="auto"/>
        <w:rPr>
          <w:rFonts w:ascii="Arial" w:hAnsi="Arial" w:cs="Arial"/>
          <w:bCs/>
          <w:sz w:val="20"/>
          <w:szCs w:val="20"/>
        </w:rPr>
      </w:pPr>
      <w:proofErr w:type="gramStart"/>
      <w:r w:rsidRPr="00081870">
        <w:rPr>
          <w:rFonts w:ascii="Arial" w:hAnsi="Arial" w:cs="Arial"/>
          <w:bCs/>
          <w:sz w:val="20"/>
          <w:szCs w:val="20"/>
        </w:rPr>
        <w:t>RUD Ketten</w:t>
      </w:r>
      <w:proofErr w:type="gramEnd"/>
      <w:r w:rsidRPr="00081870">
        <w:rPr>
          <w:rFonts w:ascii="Arial" w:hAnsi="Arial" w:cs="Arial"/>
          <w:bCs/>
          <w:sz w:val="20"/>
          <w:szCs w:val="20"/>
        </w:rPr>
        <w:t xml:space="preserve"> Rieger &amp; Dietz GmbH u. Co. KG</w:t>
      </w:r>
    </w:p>
    <w:p w14:paraId="7BF02BA7" w14:textId="77777777" w:rsidR="004B0733" w:rsidRPr="00081870" w:rsidRDefault="004B0733" w:rsidP="00981005">
      <w:pPr>
        <w:spacing w:line="276" w:lineRule="auto"/>
        <w:rPr>
          <w:rFonts w:ascii="Arial" w:hAnsi="Arial" w:cs="Arial"/>
          <w:bCs/>
          <w:sz w:val="20"/>
          <w:szCs w:val="20"/>
        </w:rPr>
      </w:pPr>
      <w:r w:rsidRPr="00081870">
        <w:rPr>
          <w:rFonts w:ascii="Arial" w:hAnsi="Arial" w:cs="Arial"/>
          <w:bCs/>
          <w:sz w:val="20"/>
          <w:szCs w:val="20"/>
        </w:rPr>
        <w:t xml:space="preserve">Lea Gentner – </w:t>
      </w:r>
      <w:proofErr w:type="gramStart"/>
      <w:r w:rsidRPr="00081870">
        <w:rPr>
          <w:rFonts w:ascii="Arial" w:hAnsi="Arial" w:cs="Arial"/>
          <w:bCs/>
          <w:sz w:val="20"/>
          <w:szCs w:val="20"/>
        </w:rPr>
        <w:t>Marketing Manager</w:t>
      </w:r>
      <w:proofErr w:type="gramEnd"/>
      <w:r w:rsidRPr="00081870">
        <w:rPr>
          <w:rFonts w:ascii="Arial" w:hAnsi="Arial" w:cs="Arial"/>
          <w:bCs/>
          <w:sz w:val="20"/>
          <w:szCs w:val="20"/>
        </w:rPr>
        <w:t xml:space="preserve"> </w:t>
      </w:r>
    </w:p>
    <w:p w14:paraId="47C79037" w14:textId="77777777" w:rsidR="004B0733" w:rsidRPr="00081870" w:rsidRDefault="004B0733" w:rsidP="00981005">
      <w:pPr>
        <w:spacing w:line="276" w:lineRule="auto"/>
        <w:rPr>
          <w:rFonts w:ascii="Arial" w:hAnsi="Arial" w:cs="Arial"/>
          <w:bCs/>
          <w:sz w:val="20"/>
          <w:szCs w:val="20"/>
        </w:rPr>
      </w:pPr>
      <w:r w:rsidRPr="00081870">
        <w:rPr>
          <w:rFonts w:ascii="Arial" w:hAnsi="Arial" w:cs="Arial"/>
          <w:bCs/>
          <w:sz w:val="20"/>
          <w:szCs w:val="20"/>
        </w:rPr>
        <w:t>Friedensinsel</w:t>
      </w:r>
    </w:p>
    <w:p w14:paraId="4DF47335" w14:textId="77777777" w:rsidR="004B0733" w:rsidRPr="00081870" w:rsidRDefault="004B0733" w:rsidP="00981005">
      <w:pPr>
        <w:spacing w:line="276" w:lineRule="auto"/>
        <w:rPr>
          <w:rFonts w:ascii="Arial" w:hAnsi="Arial" w:cs="Arial"/>
          <w:bCs/>
          <w:sz w:val="20"/>
          <w:szCs w:val="20"/>
        </w:rPr>
      </w:pPr>
      <w:r w:rsidRPr="00081870">
        <w:rPr>
          <w:rFonts w:ascii="Arial" w:hAnsi="Arial" w:cs="Arial"/>
          <w:bCs/>
          <w:sz w:val="20"/>
          <w:szCs w:val="20"/>
        </w:rPr>
        <w:t>73432 Aalen, Germany</w:t>
      </w:r>
    </w:p>
    <w:p w14:paraId="35F4A14E" w14:textId="77777777" w:rsidR="004B0733" w:rsidRPr="00081870" w:rsidRDefault="004B0733" w:rsidP="00981005">
      <w:pPr>
        <w:spacing w:line="276" w:lineRule="auto"/>
        <w:rPr>
          <w:rFonts w:ascii="Arial" w:hAnsi="Arial" w:cs="Arial"/>
          <w:bCs/>
          <w:sz w:val="20"/>
          <w:szCs w:val="20"/>
        </w:rPr>
      </w:pPr>
      <w:r w:rsidRPr="00081870">
        <w:rPr>
          <w:rFonts w:ascii="Arial" w:hAnsi="Arial" w:cs="Arial"/>
          <w:bCs/>
          <w:sz w:val="20"/>
          <w:szCs w:val="20"/>
        </w:rPr>
        <w:t>Telefon: +49 7361 504-1463</w:t>
      </w:r>
    </w:p>
    <w:p w14:paraId="04DCFA24" w14:textId="77777777" w:rsidR="004B0733" w:rsidRPr="00081870" w:rsidRDefault="004B0733" w:rsidP="00981005">
      <w:pPr>
        <w:spacing w:line="276" w:lineRule="auto"/>
        <w:rPr>
          <w:rStyle w:val="Hyperlink"/>
          <w:rFonts w:ascii="Arial" w:eastAsiaTheme="majorEastAsia" w:hAnsi="Arial" w:cs="Arial"/>
          <w:bCs/>
          <w:sz w:val="20"/>
          <w:szCs w:val="20"/>
        </w:rPr>
      </w:pPr>
      <w:hyperlink r:id="rId10" w:history="1">
        <w:r w:rsidRPr="00081870">
          <w:rPr>
            <w:rStyle w:val="Hyperlink"/>
            <w:rFonts w:ascii="Arial" w:eastAsiaTheme="majorEastAsia" w:hAnsi="Arial" w:cs="Arial"/>
            <w:bCs/>
            <w:sz w:val="20"/>
            <w:szCs w:val="20"/>
          </w:rPr>
          <w:t>lea.gentner@rud.com</w:t>
        </w:r>
      </w:hyperlink>
    </w:p>
    <w:p w14:paraId="2C74F186" w14:textId="77777777" w:rsidR="004B0733" w:rsidRPr="00081870" w:rsidRDefault="004B0733" w:rsidP="00981005">
      <w:pPr>
        <w:spacing w:line="276" w:lineRule="auto"/>
        <w:rPr>
          <w:rFonts w:ascii="Arial" w:hAnsi="Arial" w:cs="Arial"/>
          <w:bCs/>
          <w:sz w:val="20"/>
          <w:szCs w:val="20"/>
        </w:rPr>
      </w:pPr>
      <w:hyperlink r:id="rId11" w:history="1">
        <w:r w:rsidRPr="00081870">
          <w:rPr>
            <w:rStyle w:val="Hyperlink"/>
            <w:rFonts w:ascii="Arial" w:eastAsiaTheme="majorEastAsia" w:hAnsi="Arial" w:cs="Arial"/>
            <w:bCs/>
            <w:sz w:val="20"/>
            <w:szCs w:val="20"/>
          </w:rPr>
          <w:t>www.rud.com</w:t>
        </w:r>
      </w:hyperlink>
    </w:p>
    <w:p w14:paraId="1D626F3C" w14:textId="77777777" w:rsidR="004B0733" w:rsidRPr="00081870" w:rsidRDefault="004B0733" w:rsidP="00981005">
      <w:pPr>
        <w:spacing w:line="276" w:lineRule="auto"/>
        <w:rPr>
          <w:sz w:val="20"/>
          <w:szCs w:val="20"/>
        </w:rPr>
      </w:pPr>
      <w:hyperlink r:id="rId12" w:history="1">
        <w:r w:rsidRPr="00081870">
          <w:rPr>
            <w:rStyle w:val="Hyperlink"/>
            <w:rFonts w:ascii="Arial" w:eastAsiaTheme="majorEastAsia" w:hAnsi="Arial" w:cs="Arial"/>
            <w:bCs/>
            <w:sz w:val="20"/>
            <w:szCs w:val="20"/>
          </w:rPr>
          <w:t>www.slinglashing.rud.com</w:t>
        </w:r>
      </w:hyperlink>
    </w:p>
    <w:p w14:paraId="07BB1AD6" w14:textId="77777777" w:rsidR="00A92751" w:rsidRPr="00081870" w:rsidRDefault="00A92751" w:rsidP="00981005">
      <w:pPr>
        <w:spacing w:line="276" w:lineRule="auto"/>
        <w:rPr>
          <w:rFonts w:ascii="Arial" w:hAnsi="Arial" w:cs="Arial"/>
          <w:sz w:val="20"/>
          <w:szCs w:val="20"/>
        </w:rPr>
      </w:pPr>
    </w:p>
    <w:sectPr w:rsidR="00A92751" w:rsidRPr="00081870">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7FC6A" w14:textId="77777777" w:rsidR="00C42E45" w:rsidRDefault="00C42E45" w:rsidP="00FA6266">
      <w:r>
        <w:separator/>
      </w:r>
    </w:p>
  </w:endnote>
  <w:endnote w:type="continuationSeparator" w:id="0">
    <w:p w14:paraId="32474DFE" w14:textId="77777777" w:rsidR="00C42E45" w:rsidRDefault="00C42E45" w:rsidP="00FA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30E12" w14:textId="77777777" w:rsidR="00C42E45" w:rsidRDefault="00C42E45" w:rsidP="00FA6266">
      <w:r>
        <w:separator/>
      </w:r>
    </w:p>
  </w:footnote>
  <w:footnote w:type="continuationSeparator" w:id="0">
    <w:p w14:paraId="4C43EB48" w14:textId="77777777" w:rsidR="00C42E45" w:rsidRDefault="00C42E45" w:rsidP="00FA6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0338" w14:textId="77777777" w:rsidR="00FA6266" w:rsidRDefault="00FA6266" w:rsidP="00FA6266">
    <w:pPr>
      <w:pStyle w:val="Kopfzeile"/>
    </w:pPr>
    <w:r w:rsidRPr="00397D52">
      <w:rPr>
        <w:rFonts w:cs="Arial"/>
        <w:noProof/>
      </w:rPr>
      <mc:AlternateContent>
        <mc:Choice Requires="wps">
          <w:drawing>
            <wp:anchor distT="0" distB="0" distL="114300" distR="114300" simplePos="0" relativeHeight="251660288" behindDoc="0" locked="0" layoutInCell="1" allowOverlap="1" wp14:anchorId="0DCE672B" wp14:editId="42589EB5">
              <wp:simplePos x="0" y="0"/>
              <wp:positionH relativeFrom="column">
                <wp:posOffset>-100965</wp:posOffset>
              </wp:positionH>
              <wp:positionV relativeFrom="paragraph">
                <wp:posOffset>419100</wp:posOffset>
              </wp:positionV>
              <wp:extent cx="3543300" cy="457200"/>
              <wp:effectExtent l="0" t="0"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4E954" w14:textId="77777777" w:rsidR="00FA6266" w:rsidRPr="005262B0" w:rsidRDefault="00FA6266" w:rsidP="00FA6266">
                          <w:pPr>
                            <w:pStyle w:val="Kopfzeile"/>
                            <w:rPr>
                              <w:rFonts w:ascii="Nunito Sans" w:hAnsi="Nunito Sans"/>
                              <w:color w:val="2C69B2"/>
                            </w:rPr>
                          </w:pPr>
                          <w:r w:rsidRPr="005262B0">
                            <w:rPr>
                              <w:rFonts w:ascii="Nunito Sans" w:hAnsi="Nunito Sans"/>
                              <w:b/>
                              <w:color w:val="2C69B2"/>
                              <w:sz w:val="44"/>
                            </w:rPr>
                            <w:t>Medieninformation</w:t>
                          </w:r>
                        </w:p>
                        <w:p w14:paraId="3997F104" w14:textId="77777777" w:rsidR="00FA6266" w:rsidRDefault="00FA6266" w:rsidP="00FA62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E672B" id="_x0000_t202" coordsize="21600,21600" o:spt="202" path="m,l,21600r21600,l21600,xe">
              <v:stroke joinstyle="miter"/>
              <v:path gradientshapeok="t" o:connecttype="rect"/>
            </v:shapetype>
            <v:shape id="Text Box 15" o:spid="_x0000_s1026" type="#_x0000_t202" style="position:absolute;margin-left:-7.95pt;margin-top:33pt;width:27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aK8QEAAMoDAAAOAAAAZHJzL2Uyb0RvYy54bWysU9uO0zAQfUfiHyy/06TbLpeo6Wrpqghp&#10;WZAWPsBxnMTC8Zix26R8PWMn2y3whsiD5fHYZ+acOdncjL1hR4Vegy35cpFzpqyEWtu25N++7l+9&#10;5cwHYWthwKqSn5TnN9uXLzaDK9QVdGBqhYxArC8GV/IuBFdkmZed6oVfgFOWkg1gLwKF2GY1ioHQ&#10;e5Nd5fnrbACsHYJU3tPp3ZTk24TfNEqGz03jVWCm5NRbSCumtYprtt2IokXhOi3nNsQ/dNELbano&#10;GepOBMEOqP+C6rVE8NCEhYQ+g6bRUiUOxGaZ/8HmsRNOJS4kjndnmfz/g5UPx0f3BVkY38NIA0wk&#10;vLsH+d0zC7tO2FbdIsLQKVFT4WWULBucL+anUWpf+AhSDZ+gpiGLQ4AENDbYR1WIJyN0GsDpLLoa&#10;A5N0uLper1Y5pSTl1tdvaKqphCieXjv04YOCnsVNyZGGmtDF8d6H2I0onq7EYh6MrvfamBRgW+0M&#10;sqMgA+zTN6P/ds3YeNlCfDYhxpNEMzKbOIaxGikZ6VZQn4gwwmQo+gFo0wH+5GwgM5Xc/zgIVJyZ&#10;j5ZEe7dcr6P7UpA4coaXmeoyI6wkqJIHzqbtLkyOPTjUbUeVpjFZuCWhG500eO5q7psMk6SZzR0d&#10;eRmnW8+/4PYXAAAA//8DAFBLAwQUAAYACAAAACEAMSo7ld8AAAAKAQAADwAAAGRycy9kb3ducmV2&#10;LnhtbEyPQW7CMBBF95V6B2sqdVOBE0oChDiordSqWygHcOIhiYjHUWxIuH2nq7IczdP/7+e7yXbi&#10;ioNvHSmI5xEIpMqZlmoFx5/P2RqED5qM7hyhght62BWPD7nOjBtpj9dDqAWHkM+0giaEPpPSVw1a&#10;7eeuR+LfyQ1WBz6HWppBjxxuO7mIolRa3RI3NLrHjwar8+FiFZy+x5dkM5Zf4bjaL9N33a5Kd1Pq&#10;+Wl624IIOIV/GP70WR0KdirdhYwXnYJZnGwYVZCmvImBZLmIQZRMvq4jkEUu7ycUvwAAAP//AwBQ&#10;SwECLQAUAAYACAAAACEAtoM4kv4AAADhAQAAEwAAAAAAAAAAAAAAAAAAAAAAW0NvbnRlbnRfVHlw&#10;ZXNdLnhtbFBLAQItABQABgAIAAAAIQA4/SH/1gAAAJQBAAALAAAAAAAAAAAAAAAAAC8BAABfcmVs&#10;cy8ucmVsc1BLAQItABQABgAIAAAAIQBXYkaK8QEAAMoDAAAOAAAAAAAAAAAAAAAAAC4CAABkcnMv&#10;ZTJvRG9jLnhtbFBLAQItABQABgAIAAAAIQAxKjuV3wAAAAoBAAAPAAAAAAAAAAAAAAAAAEsEAABk&#10;cnMvZG93bnJldi54bWxQSwUGAAAAAAQABADzAAAAVwUAAAAA&#10;" stroked="f">
              <v:textbox>
                <w:txbxContent>
                  <w:p w14:paraId="08A4E954" w14:textId="77777777" w:rsidR="00FA6266" w:rsidRPr="005262B0" w:rsidRDefault="00FA6266" w:rsidP="00FA6266">
                    <w:pPr>
                      <w:pStyle w:val="Kopfzeile"/>
                      <w:rPr>
                        <w:rFonts w:ascii="Nunito Sans" w:hAnsi="Nunito Sans"/>
                        <w:color w:val="2C69B2"/>
                      </w:rPr>
                    </w:pPr>
                    <w:r w:rsidRPr="005262B0">
                      <w:rPr>
                        <w:rFonts w:ascii="Nunito Sans" w:hAnsi="Nunito Sans"/>
                        <w:b/>
                        <w:color w:val="2C69B2"/>
                        <w:sz w:val="44"/>
                      </w:rPr>
                      <w:t>Medieninformation</w:t>
                    </w:r>
                  </w:p>
                  <w:p w14:paraId="3997F104" w14:textId="77777777" w:rsidR="00FA6266" w:rsidRDefault="00FA6266" w:rsidP="00FA6266"/>
                </w:txbxContent>
              </v:textbox>
            </v:shape>
          </w:pict>
        </mc:Fallback>
      </mc:AlternateContent>
    </w:r>
    <w:r w:rsidRPr="00397D52">
      <w:rPr>
        <w:rFonts w:cs="Arial"/>
        <w:noProof/>
      </w:rPr>
      <mc:AlternateContent>
        <mc:Choice Requires="wps">
          <w:drawing>
            <wp:anchor distT="0" distB="0" distL="114300" distR="114300" simplePos="0" relativeHeight="251659264" behindDoc="0" locked="0" layoutInCell="1" allowOverlap="1" wp14:anchorId="5CCD6789" wp14:editId="4F09CE2E">
              <wp:simplePos x="0" y="0"/>
              <wp:positionH relativeFrom="column">
                <wp:posOffset>3874770</wp:posOffset>
              </wp:positionH>
              <wp:positionV relativeFrom="paragraph">
                <wp:posOffset>193675</wp:posOffset>
              </wp:positionV>
              <wp:extent cx="1758315" cy="929640"/>
              <wp:effectExtent l="0" t="0" r="698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FE35B" w14:textId="77777777" w:rsidR="00FA6266" w:rsidRDefault="00FA6266" w:rsidP="00FA6266">
                          <w:r>
                            <w:rPr>
                              <w:noProof/>
                            </w:rPr>
                            <w:drawing>
                              <wp:inline distT="0" distB="0" distL="0" distR="0" wp14:anchorId="283D5508" wp14:editId="53F3CCA0">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CD6789" id="Text Box 2" o:spid="_x0000_s1027" type="#_x0000_t202" style="position:absolute;margin-left:305.1pt;margin-top:15.25pt;width:138.45pt;height:73.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Wf9AEAAM8DAAAOAAAAZHJzL2Uyb0RvYy54bWysU8Fu2zAMvQ/YPwi6L06ypG2MOEWXIsOA&#10;rhvQ7QNkWbaFyaJAKbGzrx8lJ2nQ3Yb5IIim9Mj3+LS+HzrDDgq9Blvw2WTKmbISKm2bgv/8sftw&#10;x5kPwlbCgFUFPyrP7zfv3617l6s5tGAqhYxArM97V/A2BJdnmZet6oSfgFOWkjVgJwKF2GQVip7Q&#10;O5PNp9ObrAesHIJU3tPfxzHJNwm/rpUM3+raq8BMwam3kFZMaxnXbLMWeYPCtVqe2hD/0EUntKWi&#10;F6hHEQTbo/4LqtMSwUMdJhK6DOpaS5U4EJvZ9A2bl1Y4lbiQON5dZPL/D1Y+H17cd2Rh+AQDDTCR&#10;8O4J5C/PLGxbYRv1gAh9q0RFhWdRsqx3Pj9djVL73EeQsv8KFQ1Z7AMkoKHGLqpCPBmh0wCOF9HV&#10;EJiMJW+Xdx9nS84k5Vbz1c0iTSUT+fm2Qx8+K+hY3BQcaagJXRyefIjdiPx8JBbzYHS108akAJty&#10;a5AdBBlgl75E4M0xY+NhC/HaiBj/JJqR2cgxDOXAdHXSILIuoToSb4TRV/QOaNMC/uasJ08V3JLp&#10;OTNfLCm3mi2IGgspWCxv5xTgdaa8zggrCajggbNxuw2jbfcOddNSnfOsHkjtnU5CvPZ0ap5ck/Q5&#10;OTza8jpOp17f4eYPAAAA//8DAFBLAwQUAAYACAAAACEA8b0wYeAAAAAKAQAADwAAAGRycy9kb3du&#10;cmV2LnhtbEyP0UrDMBSG7wXfIZyBdy7phm1Xmw5RBEUYbPoAaXLWljVJbbK1vr3Hq3l5+D/+/zvl&#10;drY9u+AYOu8kJEsBDJ32pnONhK/P1/scWIjKGdV7hxJ+MMC2ur0pVWH85PZ4OcSGUYkLhZLQxjgU&#10;nAfdolVh6Qd0lB39aFWkc2y4GdVE5bbnKyFSblXnaKFVAz63qE+Hs5Xw0o31t/brtzT72OjdPhyn&#10;9x2X8m4xPz0CizjHKwx/+qQOFTnV/uxMYL2ENBErQiWsxQMwAvI8S4DVRGbpBnhV8v8vVL8AAAD/&#10;/wMAUEsBAi0AFAAGAAgAAAAhALaDOJL+AAAA4QEAABMAAAAAAAAAAAAAAAAAAAAAAFtDb250ZW50&#10;X1R5cGVzXS54bWxQSwECLQAUAAYACAAAACEAOP0h/9YAAACUAQAACwAAAAAAAAAAAAAAAAAvAQAA&#10;X3JlbHMvLnJlbHNQSwECLQAUAAYACAAAACEAuymFn/QBAADPAwAADgAAAAAAAAAAAAAAAAAuAgAA&#10;ZHJzL2Uyb0RvYy54bWxQSwECLQAUAAYACAAAACEA8b0wYeAAAAAKAQAADwAAAAAAAAAAAAAAAABO&#10;BAAAZHJzL2Rvd25yZXYueG1sUEsFBgAAAAAEAAQA8wAAAFsFAAAAAA==&#10;" stroked="f">
              <v:textbox style="mso-fit-shape-to-text:t">
                <w:txbxContent>
                  <w:p w14:paraId="207FE35B" w14:textId="77777777" w:rsidR="00FA6266" w:rsidRDefault="00FA6266" w:rsidP="00FA6266">
                    <w:r>
                      <w:rPr>
                        <w:noProof/>
                      </w:rPr>
                      <w:drawing>
                        <wp:inline distT="0" distB="0" distL="0" distR="0" wp14:anchorId="283D5508" wp14:editId="53F3CCA0">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v:textbox>
            </v:shape>
          </w:pict>
        </mc:Fallback>
      </mc:AlternateContent>
    </w:r>
  </w:p>
  <w:p w14:paraId="5362BAA6" w14:textId="77777777" w:rsidR="00FA6266" w:rsidRDefault="00FA6266">
    <w:pPr>
      <w:pStyle w:val="Kopfzeile"/>
    </w:pPr>
  </w:p>
  <w:p w14:paraId="08591837" w14:textId="77777777" w:rsidR="00FA6266" w:rsidRDefault="00FA6266">
    <w:pPr>
      <w:pStyle w:val="Kopfzeile"/>
    </w:pPr>
  </w:p>
  <w:p w14:paraId="42A5983E" w14:textId="77777777" w:rsidR="00FA6266" w:rsidRDefault="00FA6266">
    <w:pPr>
      <w:pStyle w:val="Kopfzeile"/>
    </w:pPr>
  </w:p>
  <w:p w14:paraId="392A486A" w14:textId="77777777" w:rsidR="00FA6266" w:rsidRDefault="00FA6266">
    <w:pPr>
      <w:pStyle w:val="Kopfzeile"/>
    </w:pPr>
  </w:p>
  <w:p w14:paraId="4BEC2B00" w14:textId="77777777" w:rsidR="00FA6266" w:rsidRDefault="00FA6266">
    <w:pPr>
      <w:pStyle w:val="Kopfzeile"/>
    </w:pPr>
  </w:p>
  <w:p w14:paraId="32C5FE4A" w14:textId="77777777" w:rsidR="00FA6266" w:rsidRDefault="00FA626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1C"/>
    <w:rsid w:val="00003A1C"/>
    <w:rsid w:val="00081870"/>
    <w:rsid w:val="001634E6"/>
    <w:rsid w:val="001E4EFB"/>
    <w:rsid w:val="002C1D7B"/>
    <w:rsid w:val="00354594"/>
    <w:rsid w:val="003E1A05"/>
    <w:rsid w:val="004B0733"/>
    <w:rsid w:val="005B511D"/>
    <w:rsid w:val="008225AF"/>
    <w:rsid w:val="00846AEA"/>
    <w:rsid w:val="009660EE"/>
    <w:rsid w:val="00981005"/>
    <w:rsid w:val="009E2922"/>
    <w:rsid w:val="00A92751"/>
    <w:rsid w:val="00AC7E32"/>
    <w:rsid w:val="00B03CEA"/>
    <w:rsid w:val="00BC2797"/>
    <w:rsid w:val="00C42E45"/>
    <w:rsid w:val="00C54011"/>
    <w:rsid w:val="00C652AC"/>
    <w:rsid w:val="00E6596F"/>
    <w:rsid w:val="00EB11DA"/>
    <w:rsid w:val="00EB2B65"/>
    <w:rsid w:val="00F40F47"/>
    <w:rsid w:val="00FA6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9BC7"/>
  <w15:chartTrackingRefBased/>
  <w15:docId w15:val="{430D56D2-2BEA-45B3-9092-443BB1BF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0733"/>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003A1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003A1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003A1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003A1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003A1C"/>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003A1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003A1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003A1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003A1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3A1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03A1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03A1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03A1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03A1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03A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3A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3A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3A1C"/>
    <w:rPr>
      <w:rFonts w:eastAsiaTheme="majorEastAsia" w:cstheme="majorBidi"/>
      <w:color w:val="272727" w:themeColor="text1" w:themeTint="D8"/>
    </w:rPr>
  </w:style>
  <w:style w:type="paragraph" w:styleId="Titel">
    <w:name w:val="Title"/>
    <w:basedOn w:val="Standard"/>
    <w:next w:val="Standard"/>
    <w:link w:val="TitelZchn"/>
    <w:uiPriority w:val="10"/>
    <w:qFormat/>
    <w:rsid w:val="00003A1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003A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3A1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003A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3A1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003A1C"/>
    <w:rPr>
      <w:i/>
      <w:iCs/>
      <w:color w:val="404040" w:themeColor="text1" w:themeTint="BF"/>
    </w:rPr>
  </w:style>
  <w:style w:type="paragraph" w:styleId="Listenabsatz">
    <w:name w:val="List Paragraph"/>
    <w:basedOn w:val="Standard"/>
    <w:uiPriority w:val="34"/>
    <w:qFormat/>
    <w:rsid w:val="00003A1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003A1C"/>
    <w:rPr>
      <w:i/>
      <w:iCs/>
      <w:color w:val="2F5496" w:themeColor="accent1" w:themeShade="BF"/>
    </w:rPr>
  </w:style>
  <w:style w:type="paragraph" w:styleId="IntensivesZitat">
    <w:name w:val="Intense Quote"/>
    <w:basedOn w:val="Standard"/>
    <w:next w:val="Standard"/>
    <w:link w:val="IntensivesZitatZchn"/>
    <w:uiPriority w:val="30"/>
    <w:qFormat/>
    <w:rsid w:val="00003A1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003A1C"/>
    <w:rPr>
      <w:i/>
      <w:iCs/>
      <w:color w:val="2F5496" w:themeColor="accent1" w:themeShade="BF"/>
    </w:rPr>
  </w:style>
  <w:style w:type="character" w:styleId="IntensiverVerweis">
    <w:name w:val="Intense Reference"/>
    <w:basedOn w:val="Absatz-Standardschriftart"/>
    <w:uiPriority w:val="32"/>
    <w:qFormat/>
    <w:rsid w:val="00003A1C"/>
    <w:rPr>
      <w:b/>
      <w:bCs/>
      <w:smallCaps/>
      <w:color w:val="2F5496" w:themeColor="accent1" w:themeShade="BF"/>
      <w:spacing w:val="5"/>
    </w:rPr>
  </w:style>
  <w:style w:type="paragraph" w:styleId="Kopfzeile">
    <w:name w:val="header"/>
    <w:basedOn w:val="Standard"/>
    <w:link w:val="KopfzeileZchn"/>
    <w:uiPriority w:val="99"/>
    <w:unhideWhenUsed/>
    <w:rsid w:val="00FA626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KopfzeileZchn">
    <w:name w:val="Kopfzeile Zchn"/>
    <w:basedOn w:val="Absatz-Standardschriftart"/>
    <w:link w:val="Kopfzeile"/>
    <w:uiPriority w:val="99"/>
    <w:rsid w:val="00FA6266"/>
  </w:style>
  <w:style w:type="paragraph" w:styleId="Fuzeile">
    <w:name w:val="footer"/>
    <w:basedOn w:val="Standard"/>
    <w:link w:val="FuzeileZchn"/>
    <w:uiPriority w:val="99"/>
    <w:unhideWhenUsed/>
    <w:rsid w:val="00FA626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FuzeileZchn">
    <w:name w:val="Fußzeile Zchn"/>
    <w:basedOn w:val="Absatz-Standardschriftart"/>
    <w:link w:val="Fuzeile"/>
    <w:uiPriority w:val="99"/>
    <w:rsid w:val="00FA6266"/>
  </w:style>
  <w:style w:type="character" w:styleId="Hyperlink">
    <w:name w:val="Hyperlink"/>
    <w:basedOn w:val="Absatz-Standardschriftart"/>
    <w:uiPriority w:val="99"/>
    <w:unhideWhenUsed/>
    <w:rsid w:val="004B0733"/>
    <w:rPr>
      <w:color w:val="0563C1" w:themeColor="hyperlink"/>
      <w:u w:val="single"/>
    </w:rPr>
  </w:style>
  <w:style w:type="character" w:styleId="Kommentarzeichen">
    <w:name w:val="annotation reference"/>
    <w:basedOn w:val="Absatz-Standardschriftart"/>
    <w:uiPriority w:val="99"/>
    <w:semiHidden/>
    <w:unhideWhenUsed/>
    <w:rsid w:val="00981005"/>
    <w:rPr>
      <w:sz w:val="16"/>
      <w:szCs w:val="16"/>
    </w:rPr>
  </w:style>
  <w:style w:type="paragraph" w:styleId="Kommentartext">
    <w:name w:val="annotation text"/>
    <w:basedOn w:val="Standard"/>
    <w:link w:val="KommentartextZchn"/>
    <w:uiPriority w:val="99"/>
    <w:unhideWhenUsed/>
    <w:rsid w:val="00981005"/>
    <w:rPr>
      <w:sz w:val="20"/>
      <w:szCs w:val="20"/>
    </w:rPr>
  </w:style>
  <w:style w:type="character" w:customStyle="1" w:styleId="KommentartextZchn">
    <w:name w:val="Kommentartext Zchn"/>
    <w:basedOn w:val="Absatz-Standardschriftart"/>
    <w:link w:val="Kommentartext"/>
    <w:uiPriority w:val="99"/>
    <w:rsid w:val="00981005"/>
    <w:rPr>
      <w:rFonts w:ascii="Times New Roman" w:eastAsia="Times New Roman" w:hAnsi="Times New Roman" w:cs="Times New Roman"/>
      <w:kern w:val="0"/>
      <w:sz w:val="20"/>
      <w:szCs w:val="20"/>
      <w:lang w:eastAsia="de-DE"/>
      <w14:ligatures w14:val="none"/>
    </w:rPr>
  </w:style>
  <w:style w:type="character" w:styleId="NichtaufgelsteErwhnung">
    <w:name w:val="Unresolved Mention"/>
    <w:basedOn w:val="Absatz-Standardschriftart"/>
    <w:uiPriority w:val="99"/>
    <w:semiHidden/>
    <w:unhideWhenUsed/>
    <w:rsid w:val="00E6596F"/>
    <w:rPr>
      <w:color w:val="605E5C"/>
      <w:shd w:val="clear" w:color="auto" w:fill="E1DFDD"/>
    </w:rPr>
  </w:style>
  <w:style w:type="character" w:styleId="BesuchterLink">
    <w:name w:val="FollowedHyperlink"/>
    <w:basedOn w:val="Absatz-Standardschriftart"/>
    <w:uiPriority w:val="99"/>
    <w:semiHidden/>
    <w:unhideWhenUsed/>
    <w:rsid w:val="00B03C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www.slinglashing.ru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ud.com/fakuma-2026" TargetMode="External"/><Relationship Id="rId11" Type="http://schemas.openxmlformats.org/officeDocument/2006/relationships/hyperlink" Target="http://www.rud.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lea.gentner@rud.com"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5979</Characters>
  <Application>Microsoft Office Word</Application>
  <DocSecurity>0</DocSecurity>
  <Lines>49</Lines>
  <Paragraphs>13</Paragraphs>
  <ScaleCrop>false</ScaleCrop>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Beyrau</dc:creator>
  <cp:keywords/>
  <dc:description/>
  <cp:lastModifiedBy>Sandra Sauer</cp:lastModifiedBy>
  <cp:revision>15</cp:revision>
  <dcterms:created xsi:type="dcterms:W3CDTF">2026-08-28T09:59:00Z</dcterms:created>
  <dcterms:modified xsi:type="dcterms:W3CDTF">2026-09-07T09:14:00Z</dcterms:modified>
</cp:coreProperties>
</file>